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9</w:t>
      </w:r>
      <w:r>
        <w:rPr>
          <w:rFonts w:hint="eastAsia" w:ascii="Arial" w:hAnsi="Arial" w:cs="Arial"/>
          <w:b/>
          <w:sz w:val="24"/>
          <w:szCs w:val="24"/>
        </w:rPr>
        <w:t xml:space="preserve">                             R4-2320328</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Chicago</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lang w:eastAsia="en-US"/>
        </w:rPr>
        <w:t>,</w:t>
      </w:r>
      <w:r>
        <w:rPr>
          <w:rFonts w:hint="eastAsia" w:ascii="Arial" w:hAnsi="Arial" w:cs="Arial"/>
          <w:b/>
          <w:sz w:val="24"/>
          <w:szCs w:val="24"/>
          <w:lang w:val="en-US" w:eastAsia="zh-CN"/>
        </w:rPr>
        <w:t xml:space="preserve"> Nov</w:t>
      </w:r>
      <w:r>
        <w:rPr>
          <w:rFonts w:ascii="Arial" w:hAnsi="Arial" w:cs="Arial"/>
          <w:b/>
          <w:sz w:val="24"/>
          <w:szCs w:val="24"/>
        </w:rPr>
        <w:t xml:space="preserve"> </w:t>
      </w:r>
      <w:r>
        <w:rPr>
          <w:rFonts w:hint="eastAsia" w:ascii="Arial" w:hAnsi="Arial" w:cs="Arial"/>
          <w:b/>
          <w:sz w:val="24"/>
          <w:szCs w:val="24"/>
          <w:lang w:val="en-US" w:eastAsia="zh-CN"/>
        </w:rPr>
        <w:t>13</w:t>
      </w:r>
      <w:r>
        <w:rPr>
          <w:rFonts w:ascii="Arial" w:hAnsi="Arial" w:cs="Arial"/>
          <w:b/>
          <w:sz w:val="24"/>
          <w:szCs w:val="24"/>
        </w:rPr>
        <w:t xml:space="preserve"> –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lang w:val="en-US" w:eastAsia="zh-CN"/>
        </w:rPr>
        <w:t>17</w:t>
      </w:r>
      <w:r>
        <w:rPr>
          <w:rFonts w:hint="eastAsia" w:ascii="Arial" w:hAnsi="Arial" w:cs="Arial"/>
          <w:b/>
          <w:sz w:val="24"/>
          <w:szCs w:val="24"/>
        </w:rPr>
        <w:t>, 2023</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BS RF requirement impacts from SBFD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previous RAN4 meetings, there were extensive discussions on BS RF impacts from SBFD perspective and we have reached the following agreements for the impacted RF requirements for SBFD time slots, however there are still some open issues left for further discussions. In this contribution, we want to share some further analysis on these remaining issues.</w:t>
      </w:r>
      <w:r>
        <w:rPr>
          <w:rFonts w:hint="eastAsia"/>
          <w:sz w:val="20"/>
          <w:lang w:val="en-US" w:eastAsia="zh-CN"/>
        </w:rPr>
        <w:t xml:space="preserve"> </w:t>
      </w:r>
    </w:p>
    <w:p>
      <w:pPr>
        <w:pStyle w:val="54"/>
        <w:tabs>
          <w:tab w:val="left" w:pos="567"/>
          <w:tab w:val="clear" w:pos="1985"/>
        </w:tabs>
        <w:adjustRightInd w:val="0"/>
        <w:spacing w:line="260" w:lineRule="auto"/>
        <w:ind w:left="510" w:hanging="510"/>
        <w:rPr>
          <w:szCs w:val="24"/>
        </w:rPr>
      </w:pPr>
      <w:r>
        <w:rPr>
          <w:rFonts w:hint="eastAsia"/>
        </w:rPr>
        <w:t xml:space="preserve">Discussion </w:t>
      </w:r>
      <w:bookmarkStart w:id="1" w:name="OLE_LINK13"/>
      <w:bookmarkStart w:id="2" w:name="OLE_LINK14"/>
      <w:bookmarkStart w:id="3" w:name="OLE_LINK10"/>
      <w:bookmarkStart w:id="4" w:name="OLE_LINK20"/>
      <w:r>
        <w:rPr>
          <w:rFonts w:hint="eastAsia" w:eastAsia="Times New Roman"/>
        </w:rPr>
        <w:t xml:space="preserve"> </w:t>
      </w:r>
    </w:p>
    <w:p>
      <w:pPr>
        <w:pStyle w:val="33"/>
        <w:spacing w:after="120" w:line="260" w:lineRule="auto"/>
        <w:ind w:firstLine="0" w:firstLineChars="0"/>
        <w:outlineLvl w:val="1"/>
        <w:rPr>
          <w:sz w:val="20"/>
          <w:szCs w:val="20"/>
        </w:rPr>
      </w:pPr>
      <w:r>
        <w:rPr>
          <w:rFonts w:ascii="Arial" w:hAnsi="Arial" w:cs="Arial"/>
          <w:sz w:val="28"/>
          <w:szCs w:val="28"/>
        </w:rPr>
        <w:t>2.1. Conducted Tx requirements</w:t>
      </w:r>
    </w:p>
    <w:p>
      <w:pPr>
        <w:pStyle w:val="33"/>
        <w:spacing w:after="120" w:line="260" w:lineRule="auto"/>
        <w:ind w:firstLine="0" w:firstLineChars="0"/>
        <w:outlineLvl w:val="2"/>
        <w:rPr>
          <w:rFonts w:hint="default" w:eastAsia="宋体"/>
          <w:lang w:val="en-US" w:eastAsia="zh-CN"/>
        </w:rPr>
      </w:pPr>
      <w:r>
        <w:rPr>
          <w:rFonts w:hint="eastAsia"/>
          <w:sz w:val="20"/>
          <w:szCs w:val="20"/>
        </w:rPr>
        <w:t>2.1.</w:t>
      </w:r>
      <w:r>
        <w:rPr>
          <w:rFonts w:hint="eastAsia"/>
          <w:sz w:val="20"/>
          <w:szCs w:val="20"/>
          <w:lang w:val="en-US" w:eastAsia="zh-CN"/>
        </w:rPr>
        <w:t>1</w:t>
      </w:r>
      <w:r>
        <w:rPr>
          <w:rFonts w:hint="eastAsia"/>
          <w:sz w:val="20"/>
          <w:szCs w:val="20"/>
        </w:rPr>
        <w:t xml:space="preserve">. </w:t>
      </w:r>
      <w:r>
        <w:rPr>
          <w:rFonts w:hint="eastAsia"/>
          <w:sz w:val="20"/>
          <w:szCs w:val="20"/>
          <w:lang w:val="en-US" w:eastAsia="zh-CN"/>
        </w:rPr>
        <w:t>Total dynamic range requirement</w:t>
      </w:r>
    </w:p>
    <w:p>
      <w:pPr>
        <w:pStyle w:val="33"/>
        <w:spacing w:after="120"/>
        <w:ind w:firstLine="0" w:firstLineChars="0"/>
        <w:rPr>
          <w:rFonts w:hint="eastAsia"/>
          <w:sz w:val="20"/>
          <w:szCs w:val="20"/>
          <w:lang w:val="en-US" w:eastAsia="zh-CN"/>
        </w:rPr>
      </w:pPr>
      <w:r>
        <w:rPr>
          <w:rFonts w:hint="eastAsia"/>
          <w:sz w:val="20"/>
          <w:szCs w:val="20"/>
          <w:lang w:val="en-US" w:eastAsia="zh-CN"/>
        </w:rPr>
        <w:t xml:space="preserve">Regarding the total dynamic range requirement for SBFD slots, from our understanding, it could follow the legacy approach with 10*log10(PRB number) where PRB is the total number of DL scheduled PRB. </w:t>
      </w:r>
    </w:p>
    <w:p>
      <w:pPr>
        <w:pStyle w:val="33"/>
        <w:spacing w:after="120"/>
        <w:ind w:firstLine="0" w:firstLineChars="0"/>
        <w:rPr>
          <w:rFonts w:hint="default"/>
          <w:sz w:val="20"/>
          <w:szCs w:val="20"/>
          <w:lang w:val="en-US" w:eastAsia="zh-CN"/>
        </w:rPr>
      </w:pPr>
      <w:r>
        <w:rPr>
          <w:rFonts w:hint="eastAsia"/>
          <w:sz w:val="20"/>
          <w:szCs w:val="20"/>
          <w:lang w:val="en-US" w:eastAsia="zh-CN"/>
        </w:rPr>
        <w:t xml:space="preserve">For normal DL slots and SBFD slots, DL scheduled PRB numbers will be also different and transmitter RF chain between SBFD slots and non-SBFD slots might be also a bit different which depends on the AAU reconfiguration for SBFD slots. </w:t>
      </w:r>
    </w:p>
    <w:p>
      <w:pPr>
        <w:pStyle w:val="33"/>
        <w:spacing w:after="120"/>
        <w:ind w:firstLine="0" w:firstLineChars="0"/>
        <w:rPr>
          <w:rFonts w:hint="default"/>
          <w:sz w:val="20"/>
          <w:szCs w:val="20"/>
          <w:lang w:val="en-US" w:eastAsia="zh-CN"/>
        </w:rPr>
      </w:pPr>
      <w:r>
        <w:rPr>
          <w:rFonts w:hint="eastAsia"/>
          <w:b/>
          <w:bCs/>
          <w:sz w:val="20"/>
          <w:szCs w:val="20"/>
          <w:lang w:val="en-US" w:eastAsia="zh-CN"/>
        </w:rPr>
        <w:t xml:space="preserve">Proposal 1: </w:t>
      </w:r>
      <w:r>
        <w:rPr>
          <w:rFonts w:hint="eastAsia"/>
          <w:sz w:val="20"/>
          <w:szCs w:val="20"/>
          <w:lang w:val="en-US" w:eastAsia="zh-CN"/>
        </w:rPr>
        <w:t xml:space="preserve">to define the total dynamic range requirement as 10*log10(the number of DL scheduled PRB). </w:t>
      </w:r>
    </w:p>
    <w:p>
      <w:pPr>
        <w:pStyle w:val="33"/>
        <w:spacing w:after="120" w:line="260" w:lineRule="auto"/>
        <w:ind w:firstLine="0" w:firstLineChars="0"/>
        <w:outlineLvl w:val="2"/>
        <w:rPr>
          <w:sz w:val="20"/>
          <w:szCs w:val="20"/>
        </w:rPr>
      </w:pPr>
      <w:r>
        <w:rPr>
          <w:rFonts w:hint="eastAsia"/>
          <w:sz w:val="20"/>
          <w:szCs w:val="20"/>
        </w:rPr>
        <w:t>2.1.</w:t>
      </w:r>
      <w:r>
        <w:rPr>
          <w:rFonts w:hint="eastAsia"/>
          <w:sz w:val="20"/>
          <w:szCs w:val="20"/>
          <w:lang w:val="en-US" w:eastAsia="zh-CN"/>
        </w:rPr>
        <w:t>2</w:t>
      </w:r>
      <w:r>
        <w:rPr>
          <w:rFonts w:hint="eastAsia"/>
          <w:sz w:val="20"/>
          <w:szCs w:val="20"/>
        </w:rPr>
        <w:t>. ACLR</w:t>
      </w:r>
    </w:p>
    <w:p>
      <w:pPr>
        <w:pStyle w:val="33"/>
        <w:spacing w:after="120"/>
        <w:ind w:firstLine="0" w:firstLineChars="0"/>
        <w:rPr>
          <w:sz w:val="20"/>
          <w:szCs w:val="20"/>
        </w:rPr>
      </w:pPr>
      <w:r>
        <w:rPr>
          <w:rFonts w:hint="eastAsia"/>
          <w:sz w:val="20"/>
          <w:szCs w:val="20"/>
        </w:rPr>
        <w:t>For the legacy/normal slot/symbols, the existing ACLR requirement in section 6.6.3 of TS 38.104 are still applicable.</w:t>
      </w:r>
    </w:p>
    <w:p>
      <w:pPr>
        <w:pStyle w:val="33"/>
        <w:spacing w:after="120"/>
        <w:ind w:firstLine="0" w:firstLineChars="0"/>
        <w:rPr>
          <w:sz w:val="20"/>
          <w:szCs w:val="20"/>
        </w:rPr>
      </w:pPr>
      <w:r>
        <w:rPr>
          <w:rFonts w:hint="eastAsia"/>
          <w:sz w:val="20"/>
          <w:szCs w:val="20"/>
        </w:rPr>
        <w:t xml:space="preserve">For the SBFD slot/symbols, for the </w:t>
      </w:r>
      <w:r>
        <w:rPr>
          <w:rFonts w:hint="eastAsia"/>
          <w:sz w:val="20"/>
          <w:szCs w:val="20"/>
          <w:lang w:val="en-US" w:eastAsia="zh-CN"/>
        </w:rPr>
        <w:t>sub-band</w:t>
      </w:r>
      <w:r>
        <w:rPr>
          <w:rFonts w:hint="eastAsia"/>
          <w:sz w:val="20"/>
          <w:szCs w:val="20"/>
        </w:rPr>
        <w:t xml:space="preserve"> leakage </w:t>
      </w:r>
      <w:r>
        <w:rPr>
          <w:rFonts w:hint="eastAsia"/>
          <w:sz w:val="20"/>
          <w:szCs w:val="20"/>
          <w:lang w:val="en-US" w:eastAsia="zh-CN"/>
        </w:rPr>
        <w:t>falling into the</w:t>
      </w:r>
      <w:r>
        <w:rPr>
          <w:rFonts w:hint="eastAsia"/>
          <w:sz w:val="20"/>
          <w:szCs w:val="20"/>
        </w:rPr>
        <w:t xml:space="preserve"> carrier uplink spectrum part, this could be implicitly tested by SBFD reference sensitivity requirement if downlink transmission is also configured to be transmitted during the SBFD slots/symbols.</w:t>
      </w:r>
    </w:p>
    <w:p>
      <w:pPr>
        <w:pStyle w:val="33"/>
        <w:spacing w:after="120"/>
        <w:ind w:firstLine="0" w:firstLineChars="0"/>
        <w:rPr>
          <w:rFonts w:hint="default" w:eastAsia="宋体"/>
          <w:sz w:val="20"/>
          <w:szCs w:val="20"/>
          <w:lang w:val="en-US" w:eastAsia="zh-CN"/>
        </w:rPr>
      </w:pPr>
      <w:r>
        <w:rPr>
          <w:rFonts w:hint="eastAsia"/>
          <w:sz w:val="20"/>
          <w:szCs w:val="20"/>
        </w:rPr>
        <w:t xml:space="preserve">For the </w:t>
      </w:r>
      <w:r>
        <w:rPr>
          <w:rFonts w:hint="eastAsia"/>
          <w:sz w:val="20"/>
          <w:szCs w:val="20"/>
          <w:lang w:val="en-US" w:eastAsia="zh-CN"/>
        </w:rPr>
        <w:t>sub-band</w:t>
      </w:r>
      <w:r>
        <w:rPr>
          <w:rFonts w:hint="eastAsia"/>
          <w:sz w:val="20"/>
          <w:szCs w:val="20"/>
        </w:rPr>
        <w:t xml:space="preserve"> leakage outside of the carrier, then legacy requirement of normal downlink slots should be still applied for SBFD slots/symbols. In other words, even though sub-band configuration is 20MHz and normal configuration is 100MHz, then ACLR measurement of sub-band configuration is still conducted over adjacent 100MHz carrier. The main reason is that sub-band configuration could be in any PRB levels similar as UE BWP configuration, it</w:t>
      </w:r>
      <w:r>
        <w:rPr>
          <w:sz w:val="20"/>
          <w:szCs w:val="20"/>
        </w:rPr>
        <w:t>’</w:t>
      </w:r>
      <w:r>
        <w:rPr>
          <w:rFonts w:hint="eastAsia"/>
          <w:sz w:val="20"/>
          <w:szCs w:val="20"/>
        </w:rPr>
        <w:t>s not possible to test any PRB configurations within the adjacent channel which will lots of conformance testing burden and increase the implementation complexity. In addition, from network deployment perspective, the if ACLR requirement of SBFD slots/symbols could be guaranteed as the same as that of normal slots, there would be also no coexistence issues</w:t>
      </w:r>
      <w:r>
        <w:rPr>
          <w:rFonts w:hint="eastAsia"/>
          <w:sz w:val="20"/>
          <w:szCs w:val="20"/>
          <w:lang w:val="en-US" w:eastAsia="zh-CN"/>
        </w:rPr>
        <w:t xml:space="preserve"> with other operators</w:t>
      </w:r>
      <w:r>
        <w:rPr>
          <w:rFonts w:hint="eastAsia"/>
          <w:sz w:val="20"/>
          <w:szCs w:val="20"/>
        </w:rPr>
        <w:t xml:space="preserve"> in the practice. From this perspective, it also make sense to reuse the ACLR requirement for normal slots for sub-band slots/symbols.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3"/>
              <w:numPr>
                <w:ilvl w:val="2"/>
                <w:numId w:val="5"/>
              </w:numPr>
              <w:overflowPunct/>
              <w:autoSpaceDE/>
              <w:autoSpaceDN/>
              <w:adjustRightInd/>
              <w:spacing w:after="120" w:line="259" w:lineRule="auto"/>
              <w:ind w:left="0" w:firstLineChars="0"/>
              <w:textAlignment w:val="auto"/>
              <w:rPr>
                <w:rFonts w:eastAsia="宋体"/>
                <w:szCs w:val="24"/>
                <w:highlight w:val="green"/>
                <w:lang w:eastAsia="zh-CN"/>
              </w:rPr>
            </w:pPr>
            <w:r>
              <w:rPr>
                <w:rFonts w:eastAsia="宋体"/>
                <w:szCs w:val="24"/>
                <w:highlight w:val="green"/>
                <w:lang w:eastAsia="zh-CN"/>
              </w:rPr>
              <w:t>Agreement from Ad-Hoc session:</w:t>
            </w:r>
          </w:p>
          <w:p>
            <w:pPr>
              <w:pStyle w:val="33"/>
              <w:numPr>
                <w:ilvl w:val="2"/>
                <w:numId w:val="5"/>
              </w:numPr>
              <w:overflowPunct/>
              <w:autoSpaceDE/>
              <w:autoSpaceDN/>
              <w:adjustRightInd/>
              <w:spacing w:after="120" w:line="260" w:lineRule="auto"/>
              <w:ind w:left="680" w:hanging="363" w:firstLineChars="0"/>
              <w:textAlignment w:val="auto"/>
              <w:rPr>
                <w:rFonts w:eastAsia="宋体"/>
                <w:szCs w:val="24"/>
                <w:highlight w:val="green"/>
                <w:lang w:eastAsia="zh-CN"/>
              </w:rPr>
            </w:pPr>
            <w:r>
              <w:rPr>
                <w:rFonts w:eastAsia="宋体"/>
                <w:szCs w:val="24"/>
                <w:highlight w:val="green"/>
                <w:lang w:eastAsia="zh-CN"/>
              </w:rPr>
              <w:t>ACLR for conducted and OTA TX requirement</w:t>
            </w:r>
          </w:p>
          <w:p>
            <w:pPr>
              <w:pStyle w:val="33"/>
              <w:numPr>
                <w:ilvl w:val="2"/>
                <w:numId w:val="5"/>
              </w:numPr>
              <w:overflowPunct/>
              <w:autoSpaceDE/>
              <w:autoSpaceDN/>
              <w:adjustRightInd/>
              <w:spacing w:after="120" w:line="260" w:lineRule="auto"/>
              <w:ind w:left="680" w:hanging="363" w:firstLineChars="0"/>
              <w:textAlignment w:val="auto"/>
              <w:rPr>
                <w:rFonts w:eastAsia="宋体"/>
                <w:szCs w:val="24"/>
                <w:highlight w:val="green"/>
                <w:lang w:eastAsia="zh-CN"/>
              </w:rPr>
            </w:pPr>
            <w:r>
              <w:rPr>
                <w:rFonts w:eastAsia="宋体"/>
                <w:szCs w:val="24"/>
                <w:highlight w:val="green"/>
                <w:lang w:eastAsia="zh-CN"/>
              </w:rPr>
              <w:t xml:space="preserve">TX ACLR requirement shall be defined outside of the whole carrier instead of sub-band carrier for SBFD DL symbols/slots. </w:t>
            </w:r>
          </w:p>
          <w:p>
            <w:pPr>
              <w:pStyle w:val="33"/>
              <w:numPr>
                <w:ilvl w:val="2"/>
                <w:numId w:val="5"/>
              </w:numPr>
              <w:spacing w:after="120" w:line="260" w:lineRule="auto"/>
              <w:ind w:left="680" w:hanging="363" w:firstLineChars="0"/>
              <w:rPr>
                <w:rFonts w:hint="eastAsia"/>
                <w:sz w:val="20"/>
                <w:szCs w:val="20"/>
                <w:vertAlign w:val="baseline"/>
              </w:rPr>
            </w:pPr>
            <w:r>
              <w:rPr>
                <w:rFonts w:eastAsia="宋体"/>
                <w:szCs w:val="24"/>
                <w:highlight w:val="green"/>
                <w:lang w:eastAsia="zh-CN"/>
              </w:rPr>
              <w:t xml:space="preserve">The ACLR is still defined as the ratio of sum of TX power within the whole carrier to the adjacent carrier. </w:t>
            </w:r>
          </w:p>
          <w:p>
            <w:pPr>
              <w:pStyle w:val="33"/>
              <w:numPr>
                <w:ilvl w:val="2"/>
                <w:numId w:val="5"/>
              </w:numPr>
              <w:overflowPunct/>
              <w:autoSpaceDE/>
              <w:autoSpaceDN/>
              <w:adjustRightInd/>
              <w:spacing w:after="120" w:line="259" w:lineRule="auto"/>
              <w:ind w:left="0" w:firstLineChars="0"/>
              <w:textAlignment w:val="auto"/>
              <w:rPr>
                <w:rFonts w:eastAsia="宋体"/>
                <w:szCs w:val="24"/>
                <w:highlight w:val="green"/>
                <w:lang w:eastAsia="zh-CN"/>
              </w:rPr>
            </w:pPr>
            <w:r>
              <w:rPr>
                <w:rFonts w:eastAsia="宋体"/>
                <w:szCs w:val="24"/>
                <w:highlight w:val="green"/>
                <w:lang w:eastAsia="zh-CN"/>
              </w:rPr>
              <w:t xml:space="preserve">Agreement </w:t>
            </w:r>
            <w:r>
              <w:rPr>
                <w:rFonts w:hint="eastAsia"/>
                <w:szCs w:val="24"/>
                <w:highlight w:val="green"/>
                <w:lang w:val="en-US" w:eastAsia="zh-CN"/>
              </w:rPr>
              <w:t>at RAN4#108bis meeting</w:t>
            </w:r>
            <w:r>
              <w:rPr>
                <w:rFonts w:eastAsia="宋体"/>
                <w:szCs w:val="24"/>
                <w:highlight w:val="green"/>
                <w:lang w:eastAsia="zh-CN"/>
              </w:rPr>
              <w:t>:</w:t>
            </w:r>
          </w:p>
          <w:p>
            <w:pPr>
              <w:pStyle w:val="33"/>
              <w:widowControl w:val="0"/>
              <w:numPr>
                <w:ilvl w:val="0"/>
                <w:numId w:val="6"/>
              </w:numPr>
              <w:overflowPunct/>
              <w:autoSpaceDE/>
              <w:autoSpaceDN/>
              <w:adjustRightInd/>
              <w:spacing w:after="160" w:line="260" w:lineRule="auto"/>
              <w:ind w:firstLineChars="0"/>
              <w:jc w:val="both"/>
              <w:textAlignment w:val="auto"/>
            </w:pPr>
            <w:r>
              <w:t>Option 1: Do not create a new requirement for in-channel adjacent sub-band leakage ratio</w:t>
            </w:r>
          </w:p>
          <w:p>
            <w:pPr>
              <w:pStyle w:val="33"/>
              <w:widowControl w:val="0"/>
              <w:numPr>
                <w:ilvl w:val="0"/>
                <w:numId w:val="6"/>
              </w:numPr>
              <w:overflowPunct/>
              <w:autoSpaceDE/>
              <w:autoSpaceDN/>
              <w:adjustRightInd/>
              <w:spacing w:after="160" w:line="260" w:lineRule="auto"/>
              <w:ind w:firstLineChars="0"/>
              <w:jc w:val="both"/>
              <w:textAlignment w:val="auto"/>
            </w:pPr>
            <w:r>
              <w:t xml:space="preserve">Option 2: Create a new requirement on in-channel adjacent sub-band leakage ratio, similar to ACLR </w:t>
            </w:r>
          </w:p>
          <w:p>
            <w:pPr>
              <w:pStyle w:val="33"/>
              <w:widowControl w:val="0"/>
              <w:numPr>
                <w:ilvl w:val="1"/>
                <w:numId w:val="6"/>
              </w:numPr>
              <w:overflowPunct/>
              <w:autoSpaceDE/>
              <w:autoSpaceDN/>
              <w:adjustRightInd/>
              <w:spacing w:after="160" w:line="260" w:lineRule="auto"/>
              <w:ind w:firstLineChars="0"/>
              <w:jc w:val="both"/>
              <w:textAlignment w:val="auto"/>
              <w:rPr>
                <w:rFonts w:hint="eastAsia" w:eastAsia="宋体"/>
                <w:szCs w:val="24"/>
                <w:highlight w:val="green"/>
                <w:lang w:eastAsia="zh-CN"/>
              </w:rPr>
            </w:pPr>
            <w:r>
              <w:t>Requirement limit should also be proposed</w:t>
            </w:r>
          </w:p>
        </w:tc>
      </w:tr>
    </w:tbl>
    <w:p>
      <w:pPr>
        <w:pStyle w:val="33"/>
        <w:spacing w:after="120"/>
        <w:ind w:firstLine="0" w:firstLineChars="0"/>
        <w:rPr>
          <w:rFonts w:hint="eastAsia"/>
          <w:sz w:val="20"/>
          <w:szCs w:val="20"/>
        </w:rPr>
      </w:pPr>
    </w:p>
    <w:p>
      <w:pPr>
        <w:pStyle w:val="33"/>
        <w:spacing w:after="120"/>
        <w:ind w:firstLine="0" w:firstLineChars="0"/>
        <w:rPr>
          <w:sz w:val="20"/>
          <w:szCs w:val="20"/>
        </w:rPr>
      </w:pPr>
      <w:r>
        <w:rPr>
          <w:rFonts w:hint="eastAsia"/>
          <w:b/>
          <w:bCs/>
          <w:sz w:val="20"/>
          <w:szCs w:val="20"/>
          <w:lang w:val="en-US" w:eastAsia="zh-CN"/>
        </w:rPr>
        <w:t>Proposal 2</w:t>
      </w:r>
      <w:r>
        <w:rPr>
          <w:rFonts w:hint="eastAsia"/>
          <w:sz w:val="20"/>
          <w:szCs w:val="20"/>
          <w:lang w:val="en-US" w:eastAsia="zh-CN"/>
        </w:rPr>
        <w:t>: for in-channel ACLR requirement, to consider this ACLR requirement in the gNB Refsens degradation via self interference and inter-sector interference</w:t>
      </w:r>
      <w:r>
        <w:rPr>
          <w:rFonts w:hint="eastAsia"/>
          <w:lang w:val="en-US" w:eastAsia="zh-CN"/>
        </w:rPr>
        <w:t xml:space="preserve"> implicitly</w:t>
      </w:r>
      <w:r>
        <w:rPr>
          <w:rFonts w:hint="eastAsia"/>
          <w:sz w:val="20"/>
          <w:szCs w:val="20"/>
          <w:lang w:val="en-US" w:eastAsia="zh-CN"/>
        </w:rPr>
        <w:t>.</w:t>
      </w:r>
    </w:p>
    <w:p>
      <w:pPr>
        <w:pStyle w:val="33"/>
        <w:spacing w:after="120"/>
        <w:ind w:firstLine="0" w:firstLineChars="0"/>
      </w:pPr>
      <w:r>
        <w:drawing>
          <wp:inline distT="0" distB="0" distL="114300" distR="114300">
            <wp:extent cx="6184265" cy="1233170"/>
            <wp:effectExtent l="0" t="0" r="6985" b="508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5"/>
                    <a:stretch>
                      <a:fillRect/>
                    </a:stretch>
                  </pic:blipFill>
                  <pic:spPr>
                    <a:xfrm>
                      <a:off x="0" y="0"/>
                      <a:ext cx="6184265" cy="123317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w:t>
      </w:r>
      <w:r>
        <w:rPr>
          <w:rFonts w:hint="eastAsia"/>
          <w:lang w:val="en-US" w:eastAsia="zh-CN"/>
        </w:rPr>
        <w:t>2</w:t>
      </w:r>
      <w:r>
        <w:rPr>
          <w:rFonts w:hint="eastAsia"/>
        </w:rPr>
        <w:t>-1: Example of ACLR requirement of SBFD slots</w:t>
      </w:r>
    </w:p>
    <w:p>
      <w:pPr>
        <w:pStyle w:val="33"/>
        <w:numPr>
          <w:ilvl w:val="255"/>
          <w:numId w:val="0"/>
        </w:numPr>
        <w:spacing w:after="0" w:line="240" w:lineRule="auto"/>
        <w:jc w:val="both"/>
      </w:pPr>
    </w:p>
    <w:p>
      <w:pPr>
        <w:pStyle w:val="33"/>
        <w:numPr>
          <w:ilvl w:val="255"/>
          <w:numId w:val="0"/>
        </w:numPr>
        <w:spacing w:after="0" w:line="240" w:lineRule="auto"/>
        <w:jc w:val="center"/>
      </w:pPr>
    </w:p>
    <w:p>
      <w:pPr>
        <w:pStyle w:val="33"/>
        <w:spacing w:after="120" w:line="260" w:lineRule="auto"/>
        <w:ind w:firstLine="0" w:firstLineChars="0"/>
        <w:outlineLvl w:val="2"/>
        <w:rPr>
          <w:sz w:val="20"/>
          <w:szCs w:val="20"/>
        </w:rPr>
      </w:pPr>
      <w:r>
        <w:rPr>
          <w:rFonts w:hint="eastAsia"/>
          <w:sz w:val="20"/>
          <w:szCs w:val="20"/>
        </w:rPr>
        <w:t>2.1.</w:t>
      </w:r>
      <w:r>
        <w:rPr>
          <w:rFonts w:hint="eastAsia"/>
          <w:sz w:val="20"/>
          <w:szCs w:val="20"/>
          <w:lang w:val="en-US" w:eastAsia="zh-CN"/>
        </w:rPr>
        <w:t>3</w:t>
      </w:r>
      <w:r>
        <w:rPr>
          <w:rFonts w:hint="eastAsia"/>
          <w:sz w:val="20"/>
          <w:szCs w:val="20"/>
        </w:rPr>
        <w:t>. Unwanted emission mask</w:t>
      </w:r>
    </w:p>
    <w:p>
      <w:pPr>
        <w:pStyle w:val="33"/>
        <w:spacing w:after="120"/>
        <w:ind w:firstLine="0" w:firstLineChars="0"/>
        <w:rPr>
          <w:sz w:val="20"/>
          <w:szCs w:val="20"/>
        </w:rPr>
      </w:pPr>
      <w:r>
        <w:rPr>
          <w:rFonts w:hint="eastAsia"/>
          <w:sz w:val="20"/>
          <w:szCs w:val="20"/>
        </w:rPr>
        <w:t>For the legacy/normal slot/symbols, the existing OBUE requirement in section 6.6.4 of TS 38.104 are still applicable.</w:t>
      </w:r>
    </w:p>
    <w:p>
      <w:pPr>
        <w:pStyle w:val="33"/>
        <w:spacing w:after="120"/>
        <w:ind w:firstLine="0" w:firstLineChars="0"/>
        <w:rPr>
          <w:sz w:val="20"/>
          <w:szCs w:val="20"/>
        </w:rPr>
      </w:pPr>
      <w:r>
        <w:rPr>
          <w:rFonts w:hint="eastAsia"/>
          <w:sz w:val="20"/>
          <w:szCs w:val="20"/>
        </w:rPr>
        <w:t>For the SBFD slot/symbols, for the OBUE within carrier uplink spectrum part , this could be implicitly tested by SBFD reference sensitivity requirement if downlink transmission is also configured to be transmitted during the SBFD slots/symbols.</w:t>
      </w:r>
    </w:p>
    <w:p>
      <w:pPr>
        <w:pStyle w:val="33"/>
        <w:spacing w:after="120"/>
        <w:ind w:firstLine="0" w:firstLineChars="0"/>
        <w:rPr>
          <w:rFonts w:hint="eastAsia"/>
          <w:sz w:val="20"/>
          <w:szCs w:val="20"/>
        </w:rPr>
      </w:pPr>
      <w:r>
        <w:rPr>
          <w:rFonts w:hint="eastAsia"/>
          <w:sz w:val="20"/>
          <w:szCs w:val="20"/>
        </w:rPr>
        <w:t>For OBUE outside of the carrier, then legacy requirement of normal downlink slots should be still applied for SBFD slots/symbols similar as ACLR requirement for sub-band slots/symbols.</w:t>
      </w:r>
    </w:p>
    <w:p>
      <w:pPr>
        <w:pStyle w:val="33"/>
        <w:spacing w:after="120"/>
        <w:ind w:firstLine="0" w:firstLineChars="0"/>
        <w:rPr>
          <w:rFonts w:hint="eastAsia"/>
          <w:sz w:val="20"/>
          <w:szCs w:val="20"/>
          <w:lang w:val="en-US" w:eastAsia="zh-CN"/>
        </w:rPr>
      </w:pPr>
      <w:r>
        <w:rPr>
          <w:rFonts w:hint="eastAsia"/>
          <w:b/>
          <w:bCs/>
          <w:sz w:val="20"/>
          <w:szCs w:val="20"/>
          <w:lang w:val="en-US" w:eastAsia="zh-CN"/>
        </w:rPr>
        <w:t>Proposal 3</w:t>
      </w:r>
      <w:r>
        <w:rPr>
          <w:rFonts w:hint="eastAsia"/>
          <w:sz w:val="20"/>
          <w:szCs w:val="20"/>
          <w:lang w:val="en-US" w:eastAsia="zh-CN"/>
        </w:rPr>
        <w:t>: for in-channel emission/OBUE, to consider this emission in the gNB Refsens degradation via self interference and inter-sector interference implicitly.</w:t>
      </w:r>
    </w:p>
    <w:p>
      <w:pPr>
        <w:pStyle w:val="33"/>
        <w:spacing w:after="120"/>
        <w:ind w:firstLine="0" w:firstLineChars="0"/>
        <w:rPr>
          <w:rFonts w:hint="eastAsia"/>
          <w:sz w:val="20"/>
          <w:szCs w:val="20"/>
          <w:lang w:val="en-US" w:eastAsia="zh-CN"/>
        </w:rPr>
      </w:pPr>
    </w:p>
    <w:p>
      <w:pPr>
        <w:pStyle w:val="33"/>
        <w:spacing w:after="120" w:line="240" w:lineRule="auto"/>
        <w:ind w:firstLine="0" w:firstLineChars="0"/>
        <w:outlineLvl w:val="9"/>
        <w:rPr>
          <w:sz w:val="20"/>
          <w:szCs w:val="20"/>
        </w:rPr>
      </w:pPr>
      <w:r>
        <w:rPr>
          <w:rFonts w:hint="eastAsia"/>
          <w:sz w:val="20"/>
          <w:szCs w:val="20"/>
        </w:rPr>
        <w:t>2.1.</w:t>
      </w:r>
      <w:r>
        <w:rPr>
          <w:rFonts w:hint="eastAsia"/>
          <w:sz w:val="20"/>
          <w:szCs w:val="20"/>
          <w:lang w:val="en-US" w:eastAsia="zh-CN"/>
        </w:rPr>
        <w:t>4</w:t>
      </w:r>
      <w:r>
        <w:rPr>
          <w:rFonts w:hint="eastAsia"/>
          <w:sz w:val="20"/>
          <w:szCs w:val="20"/>
        </w:rPr>
        <w:t xml:space="preserve">. Transmitter spurious emission </w:t>
      </w:r>
    </w:p>
    <w:p>
      <w:pPr>
        <w:pStyle w:val="33"/>
        <w:spacing w:after="120"/>
        <w:ind w:firstLine="0" w:firstLineChars="0"/>
        <w:rPr>
          <w:b/>
          <w:bCs/>
          <w:sz w:val="20"/>
          <w:szCs w:val="20"/>
        </w:rPr>
      </w:pPr>
      <w:r>
        <w:rPr>
          <w:rFonts w:hint="eastAsia"/>
          <w:b/>
          <w:bCs/>
          <w:sz w:val="20"/>
          <w:szCs w:val="20"/>
        </w:rPr>
        <w:t>General spurious emission requirement:</w:t>
      </w:r>
    </w:p>
    <w:p>
      <w:pPr>
        <w:pStyle w:val="33"/>
        <w:spacing w:after="120"/>
        <w:ind w:firstLine="0" w:firstLineChars="0"/>
        <w:rPr>
          <w:b/>
          <w:bCs/>
          <w:sz w:val="20"/>
          <w:szCs w:val="20"/>
        </w:rPr>
      </w:pPr>
      <w:r>
        <w:rPr>
          <w:rFonts w:hint="eastAsia"/>
          <w:b/>
          <w:bCs/>
          <w:sz w:val="20"/>
          <w:szCs w:val="20"/>
        </w:rPr>
        <w:t>Co-location with other base stations</w:t>
      </w:r>
    </w:p>
    <w:p>
      <w:pPr>
        <w:pStyle w:val="33"/>
        <w:spacing w:after="120"/>
        <w:ind w:firstLine="0" w:firstLineChars="0"/>
        <w:rPr>
          <w:sz w:val="20"/>
          <w:szCs w:val="20"/>
        </w:rPr>
      </w:pPr>
      <w:r>
        <w:rPr>
          <w:rFonts w:hint="eastAsia"/>
          <w:sz w:val="20"/>
          <w:szCs w:val="20"/>
        </w:rPr>
        <w:t>For the legacy/normal slot/symbols, the existing co-location requirement in section 6.6.5.2.4 of TS 38.104.</w:t>
      </w:r>
    </w:p>
    <w:p>
      <w:pPr>
        <w:pStyle w:val="33"/>
        <w:spacing w:after="120"/>
        <w:ind w:firstLine="0" w:firstLineChars="0"/>
        <w:rPr>
          <w:rFonts w:hint="eastAsia"/>
          <w:sz w:val="20"/>
          <w:szCs w:val="20"/>
          <w:lang w:val="en-US" w:eastAsia="zh-CN"/>
        </w:rPr>
      </w:pPr>
      <w:r>
        <w:rPr>
          <w:rFonts w:hint="eastAsia"/>
          <w:sz w:val="20"/>
          <w:szCs w:val="20"/>
        </w:rPr>
        <w:t>For the SBFD slots/symbols, the existing existing co-location requirement in section 6.6.5.2.4 of TS 38.104</w:t>
      </w:r>
      <w:r>
        <w:rPr>
          <w:rFonts w:hint="eastAsia"/>
          <w:sz w:val="20"/>
          <w:szCs w:val="20"/>
          <w:lang w:val="en-US" w:eastAsia="zh-CN"/>
        </w:rPr>
        <w:t xml:space="preserve"> might be not applicable since its coupling loss is still based on 30dB</w:t>
      </w:r>
      <w:r>
        <w:rPr>
          <w:rFonts w:hint="eastAsia"/>
          <w:sz w:val="20"/>
          <w:szCs w:val="20"/>
        </w:rPr>
        <w:t>.</w:t>
      </w:r>
      <w:r>
        <w:rPr>
          <w:rFonts w:hint="eastAsia"/>
          <w:sz w:val="20"/>
          <w:szCs w:val="20"/>
          <w:lang w:val="en-US" w:eastAsia="zh-CN"/>
        </w:rPr>
        <w:t xml:space="preserve"> During the last RAN4 meeting, there were some discussions on the following proposals, however it</w:t>
      </w:r>
      <w:r>
        <w:rPr>
          <w:rFonts w:hint="default"/>
          <w:sz w:val="20"/>
          <w:szCs w:val="20"/>
          <w:lang w:val="en-US" w:eastAsia="zh-CN"/>
        </w:rPr>
        <w:t>’</w:t>
      </w:r>
      <w:r>
        <w:rPr>
          <w:rFonts w:hint="eastAsia"/>
          <w:sz w:val="20"/>
          <w:szCs w:val="20"/>
          <w:lang w:val="en-US" w:eastAsia="zh-CN"/>
        </w:rPr>
        <w:t xml:space="preserve">s still kept as FFS. Indeed these options are not mutually exclusive from our understanding. For Option 1, it was technically right, however it might be difficult to coexist with other BS with 30dB MCL especially considering the SBFD receiver performance degradation, however from the insurance of minimum performance degradation of other co-located BS receiver is also highly important. </w:t>
      </w:r>
    </w:p>
    <w:p>
      <w:pPr>
        <w:pStyle w:val="33"/>
        <w:spacing w:after="120"/>
        <w:ind w:firstLine="0" w:firstLineChars="0"/>
        <w:rPr>
          <w:rFonts w:hint="default"/>
          <w:sz w:val="20"/>
          <w:szCs w:val="20"/>
          <w:lang w:val="en-US" w:eastAsia="zh-CN"/>
        </w:rPr>
      </w:pPr>
      <w:r>
        <w:rPr>
          <w:rFonts w:hint="eastAsia"/>
          <w:sz w:val="20"/>
          <w:szCs w:val="20"/>
          <w:lang w:val="en-US" w:eastAsia="zh-CN"/>
        </w:rPr>
        <w:t xml:space="preserve">Based on these consideration, we are also fine to consider the option 2 as declaration basis.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1"/>
                <w:numId w:val="0"/>
              </w:numPr>
              <w:tabs>
                <w:tab w:val="left" w:pos="1209"/>
              </w:tabs>
              <w:overflowPunct/>
              <w:autoSpaceDE/>
              <w:autoSpaceDN/>
              <w:adjustRightInd/>
              <w:spacing w:after="120"/>
              <w:ind w:left="420" w:leftChars="200" w:firstLine="0" w:firstLineChars="0"/>
              <w:textAlignment w:val="auto"/>
              <w:rPr>
                <w:rFonts w:hint="eastAsia"/>
                <w:b/>
                <w:bCs/>
                <w:u w:val="single"/>
              </w:rPr>
            </w:pPr>
            <w:r>
              <w:rPr>
                <w:b/>
                <w:bCs/>
                <w:u w:val="single"/>
              </w:rPr>
              <w:t xml:space="preserve">Issue 3-1-6: Co-location and co-existence </w:t>
            </w:r>
          </w:p>
          <w:p>
            <w:pPr>
              <w:pStyle w:val="33"/>
              <w:numPr>
                <w:ilvl w:val="2"/>
                <w:numId w:val="5"/>
              </w:numPr>
              <w:tabs>
                <w:tab w:val="left" w:pos="1209"/>
              </w:tabs>
              <w:overflowPunct/>
              <w:autoSpaceDE/>
              <w:autoSpaceDN/>
              <w:adjustRightInd/>
              <w:spacing w:after="120"/>
              <w:ind w:left="2376" w:firstLineChars="0"/>
              <w:textAlignment w:val="auto"/>
            </w:pPr>
            <w:r>
              <w:t>Agreement:</w:t>
            </w:r>
          </w:p>
          <w:p>
            <w:pPr>
              <w:pStyle w:val="33"/>
              <w:numPr>
                <w:ilvl w:val="1"/>
                <w:numId w:val="5"/>
              </w:numPr>
              <w:ind w:left="1656" w:firstLineChars="0"/>
              <w:rPr>
                <w:highlight w:val="green"/>
              </w:rPr>
            </w:pPr>
            <w:r>
              <w:rPr>
                <w:highlight w:val="green"/>
              </w:rPr>
              <w:t xml:space="preserve">Co-location/co-existence: </w:t>
            </w:r>
          </w:p>
          <w:p>
            <w:pPr>
              <w:pStyle w:val="33"/>
              <w:numPr>
                <w:ilvl w:val="2"/>
                <w:numId w:val="5"/>
              </w:numPr>
              <w:ind w:left="2376" w:firstLineChars="0"/>
              <w:rPr>
                <w:highlight w:val="green"/>
              </w:rPr>
            </w:pPr>
            <w:r>
              <w:rPr>
                <w:highlight w:val="green"/>
              </w:rPr>
              <w:t>Option 1: Co-location requirement can’t use 30 dB coupling loss as the coupling loss assumption for SBFD capable gNB co-location related requirement.</w:t>
            </w:r>
          </w:p>
          <w:p>
            <w:pPr>
              <w:pStyle w:val="33"/>
              <w:numPr>
                <w:ilvl w:val="2"/>
                <w:numId w:val="5"/>
              </w:numPr>
              <w:ind w:left="2376" w:firstLineChars="0"/>
              <w:rPr>
                <w:highlight w:val="green"/>
              </w:rPr>
            </w:pPr>
            <w:r>
              <w:rPr>
                <w:highlight w:val="green"/>
              </w:rPr>
              <w:t xml:space="preserve">Option 2: No update on existing requirements, it’s declaration basis whether BS need to follow the requirements. FFS whether applicable for SBFD symbols/slots. </w:t>
            </w:r>
          </w:p>
          <w:p>
            <w:pPr>
              <w:pStyle w:val="33"/>
              <w:numPr>
                <w:ilvl w:val="-1"/>
                <w:numId w:val="0"/>
              </w:numPr>
              <w:tabs>
                <w:tab w:val="left" w:pos="1209"/>
              </w:tabs>
              <w:spacing w:after="120"/>
              <w:ind w:left="0" w:firstLine="0" w:firstLineChars="0"/>
              <w:rPr>
                <w:rFonts w:hint="default" w:eastAsia="宋体"/>
                <w:sz w:val="20"/>
                <w:szCs w:val="20"/>
                <w:vertAlign w:val="baseline"/>
                <w:lang w:val="en-US" w:eastAsia="zh-CN"/>
              </w:rPr>
            </w:pPr>
            <w:r>
              <w:rPr>
                <w:rFonts w:hint="eastAsia"/>
                <w:sz w:val="20"/>
                <w:szCs w:val="20"/>
                <w:vertAlign w:val="baseline"/>
                <w:lang w:val="en-US" w:eastAsia="zh-CN"/>
              </w:rPr>
              <w:t>WF reached at RAN4#108bis meeting</w:t>
            </w:r>
          </w:p>
          <w:p>
            <w:pPr>
              <w:widowControl w:val="0"/>
              <w:spacing w:line="260" w:lineRule="auto"/>
              <w:jc w:val="both"/>
            </w:pPr>
            <w:r>
              <w:rPr>
                <w:rFonts w:hint="eastAsia"/>
              </w:rPr>
              <w:t xml:space="preserve">For co-location and coexistence requirement, </w:t>
            </w:r>
            <w:r>
              <w:t xml:space="preserve">further contributions are encouraged to decide on one of the following options: </w:t>
            </w:r>
          </w:p>
          <w:p>
            <w:pPr>
              <w:pStyle w:val="33"/>
              <w:widowControl w:val="0"/>
              <w:numPr>
                <w:ilvl w:val="2"/>
                <w:numId w:val="5"/>
              </w:numPr>
              <w:overflowPunct/>
              <w:autoSpaceDE/>
              <w:autoSpaceDN/>
              <w:adjustRightInd/>
              <w:spacing w:after="160" w:line="260" w:lineRule="auto"/>
              <w:ind w:left="680" w:firstLine="400"/>
              <w:jc w:val="both"/>
              <w:textAlignment w:val="auto"/>
            </w:pPr>
            <w:r>
              <w:t>Option 1: Co-location requirement can’t use 30 dB coupling loss as the coupling loss assumption for SBFD capable gNB co-location related requirement.</w:t>
            </w:r>
          </w:p>
          <w:p>
            <w:pPr>
              <w:pStyle w:val="33"/>
              <w:widowControl w:val="0"/>
              <w:numPr>
                <w:ilvl w:val="2"/>
                <w:numId w:val="5"/>
              </w:numPr>
              <w:overflowPunct/>
              <w:autoSpaceDE/>
              <w:autoSpaceDN/>
              <w:adjustRightInd/>
              <w:spacing w:after="160" w:line="260" w:lineRule="auto"/>
              <w:ind w:left="680" w:firstLine="400"/>
              <w:jc w:val="both"/>
              <w:textAlignment w:val="auto"/>
            </w:pPr>
            <w:r>
              <w:t xml:space="preserve">Option 2: No update on existing requirements, it’s declaration basis whether BS need to follow the requirements. </w:t>
            </w:r>
          </w:p>
          <w:p>
            <w:pPr>
              <w:pStyle w:val="33"/>
              <w:numPr>
                <w:ilvl w:val="-1"/>
                <w:numId w:val="0"/>
              </w:numPr>
              <w:tabs>
                <w:tab w:val="left" w:pos="1209"/>
              </w:tabs>
              <w:spacing w:after="120"/>
              <w:ind w:left="0" w:firstLine="0" w:firstLineChars="0"/>
              <w:rPr>
                <w:rFonts w:hint="eastAsia"/>
                <w:sz w:val="20"/>
                <w:szCs w:val="20"/>
                <w:vertAlign w:val="baseline"/>
              </w:rPr>
            </w:pPr>
          </w:p>
        </w:tc>
      </w:tr>
    </w:tbl>
    <w:p>
      <w:pPr>
        <w:pStyle w:val="33"/>
        <w:spacing w:after="120"/>
        <w:ind w:firstLine="0" w:firstLineChars="0"/>
        <w:rPr>
          <w:sz w:val="20"/>
          <w:szCs w:val="20"/>
        </w:rPr>
      </w:pPr>
      <w:r>
        <w:rPr>
          <w:rFonts w:hint="eastAsia"/>
          <w:b/>
          <w:bCs/>
          <w:sz w:val="20"/>
          <w:szCs w:val="20"/>
          <w:lang w:val="en-US" w:eastAsia="zh-CN"/>
        </w:rPr>
        <w:t>Proposal 4</w:t>
      </w:r>
      <w:r>
        <w:rPr>
          <w:rFonts w:hint="eastAsia"/>
          <w:sz w:val="20"/>
          <w:szCs w:val="20"/>
          <w:lang w:val="en-US" w:eastAsia="zh-CN"/>
        </w:rPr>
        <w:t xml:space="preserve">: for co-location and coexistence requirement, go with option 2 with declaration basis. </w:t>
      </w:r>
    </w:p>
    <w:p>
      <w:pPr>
        <w:pStyle w:val="33"/>
        <w:spacing w:after="120" w:line="260" w:lineRule="auto"/>
        <w:ind w:firstLine="0" w:firstLineChars="0"/>
        <w:outlineLvl w:val="2"/>
        <w:rPr>
          <w:sz w:val="20"/>
          <w:szCs w:val="20"/>
        </w:rPr>
      </w:pPr>
      <w:r>
        <w:rPr>
          <w:rFonts w:hint="eastAsia"/>
          <w:sz w:val="20"/>
          <w:szCs w:val="20"/>
        </w:rPr>
        <w:t>2.1.</w:t>
      </w:r>
      <w:r>
        <w:rPr>
          <w:rFonts w:hint="eastAsia"/>
          <w:sz w:val="20"/>
          <w:szCs w:val="20"/>
          <w:lang w:val="en-US" w:eastAsia="zh-CN"/>
        </w:rPr>
        <w:t>4</w:t>
      </w:r>
      <w:r>
        <w:rPr>
          <w:rFonts w:hint="eastAsia"/>
          <w:sz w:val="20"/>
          <w:szCs w:val="20"/>
        </w:rPr>
        <w:t>. Tx intermodulation</w:t>
      </w:r>
    </w:p>
    <w:p>
      <w:pPr>
        <w:pStyle w:val="33"/>
        <w:spacing w:after="120"/>
        <w:ind w:firstLine="0" w:firstLineChars="0"/>
        <w:rPr>
          <w:sz w:val="20"/>
          <w:szCs w:val="20"/>
        </w:rPr>
      </w:pPr>
      <w:r>
        <w:rPr>
          <w:rFonts w:hint="eastAsia"/>
          <w:sz w:val="20"/>
          <w:szCs w:val="20"/>
        </w:rPr>
        <w:t>For the SBFD slots/symbols, in the principle, the existing co-location transmitter intermodulation requirement should be also applied for SBFD BS, however co-location interfering signal is not only injected into the transmitter side, but also injected into receiver side during SBFD slots/symbols, this will cause significant impacts on receiver performance if possible.</w:t>
      </w:r>
    </w:p>
    <w:p>
      <w:pPr>
        <w:pStyle w:val="33"/>
        <w:spacing w:after="120"/>
        <w:ind w:firstLine="0" w:firstLineChars="0"/>
        <w:rPr>
          <w:rFonts w:hint="default" w:eastAsia="宋体"/>
          <w:sz w:val="20"/>
          <w:szCs w:val="20"/>
          <w:lang w:val="en-US" w:eastAsia="zh-CN"/>
        </w:rPr>
      </w:pPr>
      <w:r>
        <w:rPr>
          <w:rFonts w:hint="eastAsia"/>
          <w:sz w:val="20"/>
          <w:szCs w:val="20"/>
        </w:rPr>
        <w:t>In addition, based on the coexistence study of SBFD scenario, 100% grid shift is assumed as baseline. For other grid shift, e.g. 10% grid shift could be treated as 2</w:t>
      </w:r>
      <w:r>
        <w:rPr>
          <w:rFonts w:hint="eastAsia"/>
          <w:sz w:val="20"/>
          <w:szCs w:val="20"/>
          <w:vertAlign w:val="superscript"/>
        </w:rPr>
        <w:t>nd</w:t>
      </w:r>
      <w:r>
        <w:rPr>
          <w:rFonts w:hint="eastAsia"/>
          <w:sz w:val="20"/>
          <w:szCs w:val="20"/>
        </w:rPr>
        <w:t xml:space="preserve"> priority. In other words, the coupling loss between aggressor BS and victim SBFD DL should be much larger than the legacy 30dB in the practice.</w:t>
      </w:r>
      <w:r>
        <w:rPr>
          <w:rFonts w:hint="eastAsia"/>
          <w:sz w:val="20"/>
          <w:szCs w:val="20"/>
          <w:lang w:val="en-US" w:eastAsia="zh-CN"/>
        </w:rPr>
        <w:t xml:space="preserve"> If we consider the minimum coupling loss as 30dBc, then the input power for SBFD BS receiver would be as high as -16dBm which is much higher than the expected in-band blocking interference power level. </w:t>
      </w:r>
    </w:p>
    <w:p>
      <w:pPr>
        <w:pStyle w:val="33"/>
        <w:spacing w:after="120"/>
        <w:ind w:firstLine="0" w:firstLineChars="0"/>
        <w:rPr>
          <w:sz w:val="20"/>
          <w:szCs w:val="20"/>
        </w:rPr>
      </w:pPr>
      <w:r>
        <w:rPr>
          <w:rFonts w:hint="eastAsia"/>
          <w:sz w:val="20"/>
          <w:szCs w:val="20"/>
        </w:rPr>
        <w:t xml:space="preserve">In short, the existing co-location transmitter intermodulation requirement might be too big for the receiver during SBFD slots/symbols. </w:t>
      </w:r>
    </w:p>
    <w:p>
      <w:pPr>
        <w:numPr>
          <w:ilvl w:val="0"/>
          <w:numId w:val="5"/>
        </w:numPr>
        <w:ind w:left="720"/>
        <w:rPr>
          <w:sz w:val="20"/>
          <w:szCs w:val="20"/>
        </w:rPr>
      </w:pPr>
      <w:r>
        <w:rPr>
          <w:b/>
          <w:szCs w:val="24"/>
        </w:rPr>
        <w:t>Agreements:</w:t>
      </w:r>
      <w:r>
        <w:rPr>
          <w:rFonts w:hint="eastAsia"/>
          <w:b/>
          <w:szCs w:val="24"/>
        </w:rPr>
        <w:t xml:space="preserve"> </w:t>
      </w:r>
      <w:r>
        <w:rPr>
          <w:szCs w:val="24"/>
          <w:lang w:bidi="ar"/>
        </w:rPr>
        <w:t>Take 100% grid shift as baseline assumptions, companies are also encouraged to bring evaluation simulations with other values besides 100% grid shift e.g. 10% grid shift as 2</w:t>
      </w:r>
      <w:r>
        <w:rPr>
          <w:szCs w:val="24"/>
          <w:vertAlign w:val="superscript"/>
          <w:lang w:bidi="ar"/>
        </w:rPr>
        <w:t>nd</w:t>
      </w:r>
      <w:r>
        <w:rPr>
          <w:szCs w:val="24"/>
          <w:lang w:bidi="ar"/>
        </w:rPr>
        <w:t xml:space="preserve"> priority</w:t>
      </w:r>
    </w:p>
    <w:p>
      <w:pPr>
        <w:pStyle w:val="33"/>
        <w:spacing w:after="120"/>
        <w:ind w:firstLine="0" w:firstLineChars="0"/>
      </w:pPr>
      <w:r>
        <w:drawing>
          <wp:inline distT="0" distB="0" distL="114300" distR="114300">
            <wp:extent cx="6188075" cy="1078865"/>
            <wp:effectExtent l="0" t="0" r="3175" b="6985"/>
            <wp:docPr id="6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
                    <pic:cNvPicPr>
                      <a:picLocks noChangeAspect="1"/>
                    </pic:cNvPicPr>
                  </pic:nvPicPr>
                  <pic:blipFill>
                    <a:blip r:embed="rId6"/>
                    <a:stretch>
                      <a:fillRect/>
                    </a:stretch>
                  </pic:blipFill>
                  <pic:spPr>
                    <a:xfrm>
                      <a:off x="0" y="0"/>
                      <a:ext cx="6188075" cy="1078865"/>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2.1.9-1: Example of Tx intermodulation</w:t>
      </w:r>
    </w:p>
    <w:p>
      <w:pPr>
        <w:pStyle w:val="33"/>
        <w:spacing w:after="120"/>
        <w:ind w:firstLine="0" w:firstLineChars="0"/>
        <w:rPr>
          <w:rFonts w:hint="eastAsia"/>
          <w:sz w:val="20"/>
          <w:szCs w:val="20"/>
        </w:rPr>
      </w:pPr>
      <w:r>
        <w:rPr>
          <w:rFonts w:hint="eastAsia"/>
          <w:sz w:val="20"/>
          <w:szCs w:val="20"/>
        </w:rPr>
        <w:t>For the legacy/normal slot/symbols, in principle, the existing co-location transmitter intermodulation requirement requirement in section 6.7.2.1 of TS 38.104 could be applied here. However based on the analysis from receiver during SBFD slots/symbols, the existing transmitter intermodulation requirement might be not applicable for SBFD BS.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spacing w:after="180"/>
              <w:textAlignment w:val="baseline"/>
              <w:rPr>
                <w:rFonts w:hint="eastAsia"/>
                <w:b/>
                <w:bCs/>
                <w:u w:val="single"/>
              </w:rPr>
            </w:pPr>
            <w:r>
              <w:rPr>
                <w:b/>
                <w:bCs/>
                <w:u w:val="single"/>
              </w:rPr>
              <w:t xml:space="preserve">Issue 3-1-5: Tx intermodulation requirement </w:t>
            </w:r>
          </w:p>
          <w:p>
            <w:pPr>
              <w:pStyle w:val="33"/>
              <w:numPr>
                <w:ilvl w:val="0"/>
                <w:numId w:val="5"/>
              </w:numPr>
              <w:overflowPunct/>
              <w:autoSpaceDE/>
              <w:autoSpaceDN/>
              <w:adjustRightInd/>
              <w:spacing w:after="120" w:line="259" w:lineRule="auto"/>
              <w:ind w:left="936" w:firstLineChars="0"/>
              <w:textAlignment w:val="auto"/>
              <w:rPr>
                <w:highlight w:val="green"/>
              </w:rPr>
            </w:pPr>
            <w:r>
              <w:t xml:space="preserve">Agreement: </w:t>
            </w:r>
            <w:r>
              <w:rPr>
                <w:highlight w:val="green"/>
              </w:rPr>
              <w:t>Existing IMD requirements still applicable for normal DL slots on SBFD capable gNBs</w:t>
            </w:r>
          </w:p>
          <w:p>
            <w:pPr>
              <w:pStyle w:val="33"/>
              <w:numPr>
                <w:ilvl w:val="1"/>
                <w:numId w:val="5"/>
              </w:numPr>
              <w:overflowPunct/>
              <w:autoSpaceDE/>
              <w:autoSpaceDN/>
              <w:adjustRightInd/>
              <w:spacing w:after="120" w:line="259" w:lineRule="auto"/>
              <w:ind w:left="1656" w:firstLineChars="0"/>
              <w:textAlignment w:val="auto"/>
              <w:rPr>
                <w:highlight w:val="green"/>
              </w:rPr>
            </w:pPr>
            <w:r>
              <w:rPr>
                <w:highlight w:val="green"/>
              </w:rPr>
              <w:t xml:space="preserve">FFS whether Tx IMD requirements still applicable during SBFD time slots </w:t>
            </w:r>
          </w:p>
          <w:p>
            <w:pPr>
              <w:pStyle w:val="33"/>
              <w:spacing w:after="120"/>
              <w:ind w:firstLine="0" w:firstLineChars="0"/>
              <w:rPr>
                <w:rFonts w:hint="default" w:eastAsia="宋体"/>
                <w:sz w:val="20"/>
                <w:szCs w:val="20"/>
                <w:vertAlign w:val="baseline"/>
                <w:lang w:val="en-US" w:eastAsia="zh-CN"/>
              </w:rPr>
            </w:pPr>
            <w:r>
              <w:rPr>
                <w:rFonts w:hint="eastAsia"/>
                <w:sz w:val="20"/>
                <w:szCs w:val="20"/>
                <w:vertAlign w:val="baseline"/>
                <w:lang w:val="en-US" w:eastAsia="zh-CN"/>
              </w:rPr>
              <w:t>WF reached at RAN4#108bis meeting.</w:t>
            </w:r>
          </w:p>
          <w:p>
            <w:pPr>
              <w:widowControl w:val="0"/>
              <w:spacing w:line="260" w:lineRule="auto"/>
              <w:jc w:val="both"/>
            </w:pPr>
            <w:r>
              <w:rPr>
                <w:rFonts w:hint="eastAsia"/>
              </w:rPr>
              <w:t xml:space="preserve">For </w:t>
            </w:r>
            <w:r>
              <w:t>transmitter intermodulation in SBFD slots</w:t>
            </w:r>
            <w:r>
              <w:rPr>
                <w:rFonts w:hint="eastAsia"/>
              </w:rPr>
              <w:t xml:space="preserve">, </w:t>
            </w:r>
            <w:r>
              <w:t xml:space="preserve">further contributions are encouraged to decide on one of the following options: </w:t>
            </w:r>
          </w:p>
          <w:p>
            <w:pPr>
              <w:pStyle w:val="33"/>
              <w:widowControl w:val="0"/>
              <w:numPr>
                <w:ilvl w:val="0"/>
                <w:numId w:val="7"/>
              </w:numPr>
              <w:spacing w:line="260" w:lineRule="auto"/>
              <w:ind w:firstLineChars="0"/>
              <w:jc w:val="both"/>
            </w:pPr>
            <w:r>
              <w:t>TX IM is not applied in SBFD slots</w:t>
            </w:r>
          </w:p>
          <w:p>
            <w:pPr>
              <w:pStyle w:val="33"/>
              <w:widowControl w:val="0"/>
              <w:numPr>
                <w:ilvl w:val="0"/>
                <w:numId w:val="7"/>
              </w:numPr>
              <w:spacing w:line="260" w:lineRule="auto"/>
              <w:ind w:firstLineChars="0"/>
              <w:jc w:val="both"/>
            </w:pPr>
            <w:r>
              <w:t>TX IM is applied in SBFD slots, but with a different interferer offset than 30dB</w:t>
            </w:r>
          </w:p>
          <w:p>
            <w:pPr>
              <w:pStyle w:val="33"/>
              <w:widowControl w:val="0"/>
              <w:numPr>
                <w:ilvl w:val="0"/>
                <w:numId w:val="7"/>
              </w:numPr>
              <w:spacing w:line="260" w:lineRule="auto"/>
              <w:ind w:firstLineChars="0"/>
              <w:jc w:val="both"/>
              <w:rPr>
                <w:rFonts w:hint="eastAsia"/>
                <w:sz w:val="20"/>
                <w:szCs w:val="20"/>
                <w:vertAlign w:val="baseline"/>
              </w:rPr>
            </w:pPr>
            <w:r>
              <w:t>TX IM is applied in SBFD slots with 30dB interferer offset. SBFD RX requirements are not applicable when the TX IM interferer is applied.</w:t>
            </w:r>
          </w:p>
        </w:tc>
      </w:tr>
    </w:tbl>
    <w:p>
      <w:pPr>
        <w:pStyle w:val="33"/>
        <w:spacing w:after="120"/>
        <w:ind w:firstLine="0" w:firstLineChars="0"/>
        <w:rPr>
          <w:rFonts w:hint="eastAsia"/>
          <w:sz w:val="20"/>
          <w:szCs w:val="20"/>
        </w:rPr>
      </w:pPr>
    </w:p>
    <w:p>
      <w:pPr>
        <w:pStyle w:val="33"/>
        <w:spacing w:after="120"/>
        <w:ind w:firstLine="0" w:firstLineChars="0"/>
        <w:rPr>
          <w:rFonts w:hint="default"/>
          <w:b w:val="0"/>
          <w:bCs w:val="0"/>
          <w:sz w:val="20"/>
          <w:szCs w:val="20"/>
          <w:lang w:val="en-US" w:eastAsia="zh-CN"/>
        </w:rPr>
      </w:pPr>
      <w:r>
        <w:rPr>
          <w:rFonts w:hint="eastAsia"/>
          <w:b/>
          <w:bCs/>
          <w:sz w:val="20"/>
          <w:szCs w:val="20"/>
          <w:lang w:val="en-US" w:eastAsia="zh-CN"/>
        </w:rPr>
        <w:t>Proposal 5a:</w:t>
      </w:r>
      <w:r>
        <w:rPr>
          <w:rFonts w:hint="eastAsia"/>
          <w:b w:val="0"/>
          <w:bCs w:val="0"/>
          <w:sz w:val="20"/>
          <w:szCs w:val="20"/>
          <w:lang w:val="en-US" w:eastAsia="zh-CN"/>
        </w:rPr>
        <w:t xml:space="preserve"> the existing Tx requirement is not applicable for SBFD time slots especially from Rx side and further discuss the exact requirement if necessary. </w:t>
      </w:r>
    </w:p>
    <w:p>
      <w:pPr>
        <w:pStyle w:val="33"/>
        <w:spacing w:after="120"/>
        <w:ind w:firstLine="0" w:firstLineChars="0"/>
        <w:rPr>
          <w:sz w:val="20"/>
          <w:szCs w:val="20"/>
        </w:rPr>
      </w:pPr>
      <w:r>
        <w:rPr>
          <w:rFonts w:hint="eastAsia"/>
          <w:b/>
          <w:bCs/>
          <w:sz w:val="20"/>
          <w:szCs w:val="20"/>
          <w:lang w:val="en-US" w:eastAsia="zh-CN"/>
        </w:rPr>
        <w:t>Proposal 5b:</w:t>
      </w:r>
      <w:r>
        <w:rPr>
          <w:rFonts w:hint="eastAsia"/>
          <w:b w:val="0"/>
          <w:bCs w:val="0"/>
          <w:sz w:val="20"/>
          <w:szCs w:val="20"/>
          <w:lang w:val="en-US" w:eastAsia="zh-CN"/>
        </w:rPr>
        <w:t xml:space="preserve"> if Tx requirement is considered for SBFD slots, then to add the Refsens degradation as one more performance metric in addition to transmitter OBUE/ACLR/spurious emission requirements.</w:t>
      </w: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2.2. Conducted Rx requirements</w:t>
      </w:r>
    </w:p>
    <w:p>
      <w:pPr>
        <w:pStyle w:val="33"/>
        <w:spacing w:after="120" w:line="260" w:lineRule="auto"/>
        <w:ind w:firstLine="0" w:firstLineChars="0"/>
        <w:outlineLvl w:val="2"/>
        <w:rPr>
          <w:color w:val="auto"/>
          <w:sz w:val="20"/>
          <w:szCs w:val="20"/>
        </w:rPr>
      </w:pPr>
      <w:r>
        <w:rPr>
          <w:rFonts w:hint="eastAsia"/>
          <w:sz w:val="20"/>
          <w:szCs w:val="20"/>
        </w:rPr>
        <w:t>2.2.1. Reference sensitivity level</w:t>
      </w:r>
    </w:p>
    <w:p>
      <w:pPr>
        <w:pStyle w:val="33"/>
        <w:spacing w:after="120"/>
        <w:ind w:firstLine="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last RAN4 meeting, there were some discussions on digital IC impacts on the RF requirement for Case with separate RRU and BBU in the gNB. From our understanding, digital IC </w:t>
      </w:r>
      <w:r>
        <w:rPr>
          <w:rFonts w:hint="eastAsia" w:cs="Times New Roman"/>
          <w:color w:val="auto"/>
          <w:sz w:val="20"/>
          <w:szCs w:val="20"/>
          <w:lang w:val="en-US" w:eastAsia="zh-CN"/>
        </w:rPr>
        <w:t>should be fully</w:t>
      </w:r>
      <w:r>
        <w:rPr>
          <w:rFonts w:hint="eastAsia" w:ascii="Times New Roman" w:hAnsi="Times New Roman" w:eastAsia="宋体" w:cs="Times New Roman"/>
          <w:color w:val="auto"/>
          <w:sz w:val="20"/>
          <w:szCs w:val="20"/>
          <w:lang w:val="en-US" w:eastAsia="zh-CN"/>
        </w:rPr>
        <w:t xml:space="preserve"> up to the implementation, e.g. some vendor might implement this algorithms, some others might not via the other filtering techniques instead of digital IC. At least from our understanding, when defining the RF requirement for OTA sensitivity requirement, it</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s not necessary to consider the digital IC impacts which has been implicitly considered in the self interference.</w:t>
      </w:r>
    </w:p>
    <w:p>
      <w:pPr>
        <w:pStyle w:val="33"/>
        <w:spacing w:after="120"/>
        <w:ind w:firstLine="0" w:firstLineChars="0"/>
      </w:pPr>
    </w:p>
    <w:p>
      <w:pPr>
        <w:pStyle w:val="33"/>
        <w:spacing w:after="120"/>
        <w:ind w:firstLine="0" w:firstLineChars="0"/>
      </w:pPr>
    </w:p>
    <w:p>
      <w:pPr>
        <w:pStyle w:val="33"/>
        <w:spacing w:after="120"/>
        <w:ind w:firstLine="0" w:firstLineChars="0"/>
        <w:jc w:val="center"/>
      </w:pPr>
      <w:r>
        <w:drawing>
          <wp:inline distT="0" distB="0" distL="114300" distR="114300">
            <wp:extent cx="4792345" cy="4502785"/>
            <wp:effectExtent l="0" t="0" r="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4792345" cy="4502785"/>
                    </a:xfrm>
                    <a:prstGeom prst="rect">
                      <a:avLst/>
                    </a:prstGeom>
                  </pic:spPr>
                </pic:pic>
              </a:graphicData>
            </a:graphic>
          </wp:inline>
        </w:drawing>
      </w:r>
    </w:p>
    <w:p>
      <w:pPr>
        <w:pStyle w:val="33"/>
        <w:numPr>
          <w:ilvl w:val="255"/>
          <w:numId w:val="0"/>
        </w:numPr>
        <w:spacing w:after="0" w:line="240" w:lineRule="auto"/>
        <w:jc w:val="center"/>
        <w:rPr>
          <w:rFonts w:hint="eastAsia"/>
        </w:rPr>
      </w:pPr>
      <w:r>
        <w:rPr>
          <w:rFonts w:hint="eastAsia"/>
        </w:rPr>
        <w:t>Figure 2.2.1-2: Example of REFSENS requirement for SBFD BS</w:t>
      </w:r>
    </w:p>
    <w:p>
      <w:pPr>
        <w:pStyle w:val="33"/>
        <w:numPr>
          <w:ilvl w:val="255"/>
          <w:numId w:val="0"/>
        </w:numPr>
        <w:spacing w:after="0" w:line="240" w:lineRule="auto"/>
        <w:jc w:val="center"/>
      </w:pPr>
      <w:r>
        <w:drawing>
          <wp:inline distT="0" distB="0" distL="0" distR="0">
            <wp:extent cx="3124200" cy="2514600"/>
            <wp:effectExtent l="0" t="0" r="0" b="0"/>
            <wp:docPr id="9" name="图片 9" descr="C:\Users\10164284\AppData\Local\Microsoft\Windows\INetCache\Content.MSO\E25A66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164284\AppData\Local\Microsoft\Windows\INetCache\Content.MSO\E25A66A5.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24200" cy="251460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2.2.1-</w:t>
      </w:r>
      <w:r>
        <w:rPr>
          <w:rFonts w:hint="eastAsia"/>
          <w:lang w:val="en-US" w:eastAsia="zh-CN"/>
        </w:rPr>
        <w:t>3</w:t>
      </w:r>
      <w:r>
        <w:rPr>
          <w:rFonts w:hint="eastAsia"/>
        </w:rPr>
        <w:t>: Example of ACLR requirement of SBFD slots</w:t>
      </w:r>
    </w:p>
    <w:p>
      <w:pPr>
        <w:pStyle w:val="33"/>
        <w:spacing w:after="120"/>
        <w:ind w:firstLine="0" w:firstLineChars="0"/>
      </w:pPr>
    </w:p>
    <w:p>
      <w:pPr>
        <w:pStyle w:val="33"/>
        <w:spacing w:after="120"/>
        <w:ind w:firstLine="0" w:firstLineChars="0"/>
      </w:pPr>
    </w:p>
    <w:p>
      <w:pPr>
        <w:pStyle w:val="33"/>
        <w:spacing w:after="120" w:line="260" w:lineRule="auto"/>
        <w:ind w:firstLine="0" w:firstLineChars="0"/>
        <w:outlineLvl w:val="2"/>
      </w:pPr>
      <w:r>
        <w:rPr>
          <w:rFonts w:hint="eastAsia"/>
        </w:rPr>
        <w:t>2.2.</w:t>
      </w:r>
      <w:r>
        <w:rPr>
          <w:rFonts w:hint="eastAsia"/>
          <w:lang w:val="en-US" w:eastAsia="zh-CN"/>
        </w:rPr>
        <w:t>2</w:t>
      </w:r>
      <w:r>
        <w:rPr>
          <w:rFonts w:hint="eastAsia"/>
        </w:rPr>
        <w:t xml:space="preserve">. </w:t>
      </w:r>
      <w:r>
        <w:t>Receiver intermodulation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eastAsia"/>
                <w:sz w:val="20"/>
                <w:szCs w:val="20"/>
                <w:vertAlign w:val="baseline"/>
              </w:rPr>
            </w:pPr>
            <w:r>
              <w:rPr>
                <w:rFonts w:hint="eastAsia" w:eastAsia="等线" w:cs="Arial"/>
                <w:lang w:eastAsia="zh-CN"/>
              </w:rPr>
              <w:t>In addition, it</w:t>
            </w:r>
            <w:r>
              <w:rPr>
                <w:rFonts w:eastAsia="等线" w:cs="Arial"/>
                <w:lang w:eastAsia="zh-CN"/>
              </w:rPr>
              <w:t>’</w:t>
            </w:r>
            <w:r>
              <w:rPr>
                <w:rFonts w:hint="eastAsia" w:eastAsia="等线" w:cs="Arial"/>
                <w:lang w:eastAsia="zh-CN"/>
              </w:rPr>
              <w:t>s FFS whether an additional requirement based on a single input signal placed to cause IM falling within the RX sub-band provides any additional robustness, and whether such a requirement is anyhow implicitly captured by the SBFD RX blocking requirement.</w:t>
            </w:r>
          </w:p>
        </w:tc>
      </w:tr>
    </w:tbl>
    <w:p>
      <w:pPr>
        <w:pStyle w:val="33"/>
        <w:spacing w:after="120"/>
        <w:ind w:firstLine="0" w:firstLineChars="0"/>
        <w:rPr>
          <w:rFonts w:hint="eastAsia"/>
          <w:sz w:val="20"/>
          <w:szCs w:val="20"/>
        </w:rPr>
      </w:pPr>
    </w:p>
    <w:p>
      <w:pPr>
        <w:pStyle w:val="33"/>
        <w:spacing w:after="120"/>
        <w:ind w:firstLine="0" w:firstLineChars="0"/>
        <w:rPr>
          <w:sz w:val="20"/>
          <w:szCs w:val="20"/>
        </w:rPr>
      </w:pPr>
      <w:r>
        <w:rPr>
          <w:rFonts w:hint="eastAsia"/>
          <w:sz w:val="20"/>
          <w:szCs w:val="20"/>
        </w:rPr>
        <w:t>For the legacy/normal slot/symbols, the existing receiver intermodulation requirement in section 7.7.2 of TS 38.104 are still applicable.</w:t>
      </w:r>
    </w:p>
    <w:p>
      <w:pPr>
        <w:pStyle w:val="33"/>
        <w:spacing w:after="120"/>
        <w:ind w:firstLine="0" w:firstLineChars="0"/>
      </w:pPr>
      <w:r>
        <w:rPr>
          <w:rFonts w:hint="eastAsia"/>
          <w:sz w:val="20"/>
          <w:szCs w:val="20"/>
        </w:rPr>
        <w:t>For the SBFD slot/symbols, there might be some self interference and additional Rx intermodulation caused by downlink part especially when considering with CW signal or NBB or general Rx intermodulation signals configured during the Rx IMD test, therefore it</w:t>
      </w:r>
      <w:r>
        <w:rPr>
          <w:sz w:val="20"/>
          <w:szCs w:val="20"/>
        </w:rPr>
        <w:t>’</w:t>
      </w:r>
      <w:r>
        <w:rPr>
          <w:rFonts w:hint="eastAsia"/>
          <w:sz w:val="20"/>
          <w:szCs w:val="20"/>
        </w:rPr>
        <w:t>s suggested to have further study for it.</w:t>
      </w:r>
    </w:p>
    <w:p>
      <w:pPr>
        <w:pStyle w:val="33"/>
        <w:spacing w:after="120"/>
        <w:ind w:firstLine="0" w:firstLineChars="0"/>
      </w:pPr>
      <w:r>
        <w:drawing>
          <wp:inline distT="0" distB="0" distL="114300" distR="114300">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9"/>
                    <a:stretch>
                      <a:fillRect/>
                    </a:stretch>
                  </pic:blipFill>
                  <pic:spPr>
                    <a:xfrm>
                      <a:off x="0" y="0"/>
                      <a:ext cx="6188075" cy="1915795"/>
                    </a:xfrm>
                    <a:prstGeom prst="rect">
                      <a:avLst/>
                    </a:prstGeom>
                    <a:noFill/>
                    <a:ln>
                      <a:noFill/>
                    </a:ln>
                  </pic:spPr>
                </pic:pic>
              </a:graphicData>
            </a:graphic>
          </wp:inline>
        </w:drawing>
      </w:r>
    </w:p>
    <w:p>
      <w:pPr>
        <w:pStyle w:val="33"/>
        <w:numPr>
          <w:ilvl w:val="255"/>
          <w:numId w:val="0"/>
        </w:numPr>
        <w:spacing w:after="0" w:line="240" w:lineRule="auto"/>
        <w:jc w:val="center"/>
        <w:rPr>
          <w:rFonts w:hint="eastAsia"/>
        </w:rPr>
      </w:pPr>
      <w:r>
        <w:rPr>
          <w:rFonts w:hint="eastAsia"/>
        </w:rPr>
        <w:t>Figure 2.2.</w:t>
      </w:r>
      <w:r>
        <w:rPr>
          <w:rFonts w:hint="eastAsia"/>
          <w:lang w:val="en-US" w:eastAsia="zh-CN"/>
        </w:rPr>
        <w:t>2</w:t>
      </w:r>
      <w:r>
        <w:rPr>
          <w:rFonts w:hint="eastAsia"/>
        </w:rPr>
        <w:t>-1: Example of Rx intermodulation requirement for SBFD BS</w:t>
      </w:r>
    </w:p>
    <w:p>
      <w:pPr>
        <w:pStyle w:val="33"/>
        <w:numPr>
          <w:ilvl w:val="0"/>
          <w:numId w:val="0"/>
        </w:numPr>
        <w:spacing w:after="120" w:line="240" w:lineRule="auto"/>
        <w:ind w:firstLine="0" w:firstLineChars="0"/>
        <w:jc w:val="left"/>
      </w:pPr>
      <w:r>
        <w:rPr>
          <w:rFonts w:hint="eastAsia"/>
          <w:b/>
          <w:bCs/>
          <w:sz w:val="20"/>
          <w:szCs w:val="20"/>
          <w:lang w:val="en-US" w:eastAsia="zh-CN"/>
        </w:rPr>
        <w:t>Proposal 6:</w:t>
      </w:r>
      <w:r>
        <w:rPr>
          <w:rFonts w:hint="eastAsia"/>
          <w:b w:val="0"/>
          <w:bCs w:val="0"/>
          <w:sz w:val="20"/>
          <w:szCs w:val="20"/>
          <w:lang w:val="en-US" w:eastAsia="zh-CN"/>
        </w:rPr>
        <w:t xml:space="preserve"> for receiver intermodulation requirement in the SBFD uplink symbols/slot, consider IMD between CW/NBB/general intermodulation interfering signal intermodulate with SBFD DL transmission with some performance degradation on SBFD receiver as shown in Figure 2.2.2-1.</w:t>
      </w:r>
    </w:p>
    <w:p>
      <w:pPr>
        <w:pStyle w:val="33"/>
        <w:spacing w:after="120" w:line="260" w:lineRule="auto"/>
        <w:ind w:firstLine="0" w:firstLineChars="0"/>
        <w:outlineLvl w:val="1"/>
        <w:rPr>
          <w:rFonts w:hint="eastAsia" w:ascii="Arial" w:hAnsi="Arial" w:cs="Arial"/>
          <w:sz w:val="28"/>
          <w:szCs w:val="28"/>
          <w:lang w:val="en-US" w:eastAsia="zh-CN"/>
        </w:rPr>
      </w:pPr>
      <w:r>
        <w:rPr>
          <w:rFonts w:ascii="Arial" w:hAnsi="Arial" w:cs="Arial"/>
          <w:sz w:val="28"/>
          <w:szCs w:val="28"/>
        </w:rPr>
        <w:t xml:space="preserve">2.3. </w:t>
      </w:r>
      <w:r>
        <w:rPr>
          <w:rFonts w:hint="eastAsia" w:ascii="Arial" w:hAnsi="Arial" w:cs="Arial"/>
          <w:sz w:val="28"/>
          <w:szCs w:val="28"/>
          <w:lang w:val="en-US" w:eastAsia="zh-CN"/>
        </w:rPr>
        <w:t>Potential new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overflowPunct/>
              <w:autoSpaceDE/>
              <w:autoSpaceDN/>
              <w:adjustRightInd/>
              <w:spacing w:after="160" w:line="260" w:lineRule="auto"/>
              <w:jc w:val="both"/>
              <w:textAlignment w:val="auto"/>
            </w:pPr>
            <w:r>
              <w:t>Further contributions are welcomed taking into account the following options:</w:t>
            </w:r>
          </w:p>
          <w:p>
            <w:pPr>
              <w:pStyle w:val="33"/>
              <w:widowControl w:val="0"/>
              <w:numPr>
                <w:ilvl w:val="0"/>
                <w:numId w:val="6"/>
              </w:numPr>
              <w:overflowPunct/>
              <w:autoSpaceDE/>
              <w:autoSpaceDN/>
              <w:adjustRightInd/>
              <w:spacing w:after="160" w:line="260" w:lineRule="auto"/>
              <w:ind w:firstLineChars="0"/>
              <w:jc w:val="both"/>
              <w:textAlignment w:val="auto"/>
            </w:pPr>
            <w:r>
              <w:t>Option 1: Do not create a new requirement for in-channel adjacent sub-band selectivity or blocking</w:t>
            </w:r>
          </w:p>
          <w:p>
            <w:pPr>
              <w:pStyle w:val="33"/>
              <w:widowControl w:val="0"/>
              <w:numPr>
                <w:ilvl w:val="0"/>
                <w:numId w:val="6"/>
              </w:numPr>
              <w:overflowPunct/>
              <w:autoSpaceDE/>
              <w:autoSpaceDN/>
              <w:adjustRightInd/>
              <w:spacing w:after="160" w:line="260" w:lineRule="auto"/>
              <w:ind w:firstLineChars="0"/>
              <w:jc w:val="both"/>
              <w:textAlignment w:val="auto"/>
            </w:pPr>
            <w:r>
              <w:t>Option 2: Create a new requirement on in-channel adjacent sub-band selectivity (similar to ACS), but no blocking requirement</w:t>
            </w:r>
          </w:p>
          <w:p>
            <w:pPr>
              <w:pStyle w:val="33"/>
              <w:widowControl w:val="0"/>
              <w:numPr>
                <w:ilvl w:val="1"/>
                <w:numId w:val="6"/>
              </w:numPr>
              <w:overflowPunct/>
              <w:autoSpaceDE/>
              <w:autoSpaceDN/>
              <w:adjustRightInd/>
              <w:spacing w:after="160" w:line="260" w:lineRule="auto"/>
              <w:ind w:firstLineChars="0"/>
              <w:jc w:val="both"/>
              <w:textAlignment w:val="auto"/>
            </w:pPr>
            <w:r>
              <w:t>Requirement limit should also be proposed</w:t>
            </w:r>
          </w:p>
          <w:p>
            <w:pPr>
              <w:pStyle w:val="33"/>
              <w:widowControl w:val="0"/>
              <w:numPr>
                <w:ilvl w:val="0"/>
                <w:numId w:val="6"/>
              </w:numPr>
              <w:overflowPunct/>
              <w:autoSpaceDE/>
              <w:autoSpaceDN/>
              <w:adjustRightInd/>
              <w:spacing w:after="160" w:line="260" w:lineRule="auto"/>
              <w:ind w:firstLineChars="0"/>
              <w:jc w:val="both"/>
              <w:textAlignment w:val="auto"/>
            </w:pPr>
            <w:r>
              <w:t>Option 3: Create a new requirement on in-channel adjacent sub-band blocking, but no selectivity requirement</w:t>
            </w:r>
          </w:p>
          <w:p>
            <w:pPr>
              <w:pStyle w:val="33"/>
              <w:widowControl w:val="0"/>
              <w:numPr>
                <w:ilvl w:val="1"/>
                <w:numId w:val="6"/>
              </w:numPr>
              <w:overflowPunct/>
              <w:autoSpaceDE/>
              <w:autoSpaceDN/>
              <w:adjustRightInd/>
              <w:spacing w:after="160" w:line="260" w:lineRule="auto"/>
              <w:ind w:firstLineChars="0"/>
              <w:jc w:val="both"/>
              <w:textAlignment w:val="auto"/>
            </w:pPr>
            <w:r>
              <w:t>Requirement limit should also be proposed</w:t>
            </w:r>
          </w:p>
          <w:p>
            <w:pPr>
              <w:pStyle w:val="33"/>
              <w:widowControl w:val="0"/>
              <w:numPr>
                <w:ilvl w:val="0"/>
                <w:numId w:val="6"/>
              </w:numPr>
              <w:overflowPunct/>
              <w:autoSpaceDE/>
              <w:autoSpaceDN/>
              <w:adjustRightInd/>
              <w:spacing w:after="160" w:line="260" w:lineRule="auto"/>
              <w:ind w:firstLineChars="0"/>
              <w:jc w:val="both"/>
              <w:textAlignment w:val="auto"/>
            </w:pPr>
            <w:r>
              <w:t xml:space="preserve">Option 4: Create new requirements on in-channel adjacent sub-band selectivity (similar to ACS) and blocking </w:t>
            </w:r>
          </w:p>
          <w:p>
            <w:pPr>
              <w:pStyle w:val="33"/>
              <w:widowControl w:val="0"/>
              <w:numPr>
                <w:ilvl w:val="1"/>
                <w:numId w:val="6"/>
              </w:numPr>
              <w:overflowPunct/>
              <w:autoSpaceDE/>
              <w:autoSpaceDN/>
              <w:adjustRightInd/>
              <w:spacing w:after="160" w:line="260" w:lineRule="auto"/>
              <w:ind w:firstLineChars="0"/>
              <w:jc w:val="both"/>
              <w:textAlignment w:val="auto"/>
              <w:rPr>
                <w:rFonts w:hint="eastAsia" w:ascii="Arial" w:hAnsi="Arial" w:cs="Arial"/>
                <w:sz w:val="28"/>
                <w:szCs w:val="28"/>
                <w:vertAlign w:val="baseline"/>
                <w:lang w:val="en-US" w:eastAsia="zh-CN"/>
              </w:rPr>
            </w:pPr>
            <w:r>
              <w:t>Requirement limits should also be proposed</w:t>
            </w:r>
          </w:p>
        </w:tc>
      </w:tr>
    </w:tbl>
    <w:p>
      <w:pPr>
        <w:pStyle w:val="33"/>
        <w:spacing w:after="120" w:line="260" w:lineRule="auto"/>
        <w:ind w:firstLine="0" w:firstLineChars="0"/>
        <w:outlineLvl w:val="2"/>
        <w:rPr>
          <w:szCs w:val="21"/>
        </w:rPr>
      </w:pPr>
      <w:r>
        <w:rPr>
          <w:rFonts w:hint="eastAsia"/>
          <w:szCs w:val="21"/>
        </w:rPr>
        <w:t xml:space="preserve">2.3.1 </w:t>
      </w:r>
      <w:r>
        <w:rPr>
          <w:rFonts w:eastAsia="等线" w:cs="Arial"/>
          <w:highlight w:val="none"/>
          <w:lang w:val="en-GB"/>
        </w:rPr>
        <w:t xml:space="preserve"> In-channel adjacent subband Blocking and adjacent subband selectivity</w:t>
      </w:r>
      <w:r>
        <w:rPr>
          <w:rFonts w:ascii="Times New Roman" w:hAnsi="Times New Roman" w:eastAsia="Times New Roman" w:cs="Times New Roman"/>
          <w:i/>
          <w:iCs/>
          <w:color w:val="0000FF"/>
          <w:sz w:val="20"/>
          <w:szCs w:val="20"/>
          <w:highlight w:val="none"/>
        </w:rPr>
        <w:t xml:space="preserve"> </w:t>
      </w:r>
    </w:p>
    <w:p>
      <w:pPr>
        <w:pStyle w:val="33"/>
        <w:spacing w:after="120"/>
        <w:ind w:firstLine="0" w:firstLineChars="0"/>
        <w:rPr>
          <w:rFonts w:hint="eastAsia" w:cs="Times New Roman"/>
          <w:color w:val="auto"/>
          <w:sz w:val="20"/>
          <w:szCs w:val="20"/>
          <w:lang w:val="en-US" w:eastAsia="zh-CN"/>
        </w:rPr>
      </w:pPr>
      <w:r>
        <w:rPr>
          <w:rFonts w:hint="eastAsia" w:cs="Times New Roman"/>
          <w:color w:val="auto"/>
          <w:sz w:val="20"/>
          <w:szCs w:val="20"/>
          <w:lang w:val="en-US" w:eastAsia="zh-CN"/>
        </w:rPr>
        <w:t>Regarding the RF requirement for co-site inter-sector and inter-site interference requirement, we could consider the requirement separately:</w:t>
      </w:r>
    </w:p>
    <w:p>
      <w:pPr>
        <w:pStyle w:val="33"/>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 xml:space="preserve">1) for the co-site inter-sector, since there are some sub-band interference leakage from other sectors in the co-site scenario, the minimum receiver performance degradation should be ensured, however it might be difficult to define the requirement in this scenario since different vendors might have different capability on this scenario, some vendors are capable to reject higher interference power from other sectors and some other vendors might be not. From our understanding, the conformance testing for co-site inter-sector scenario is still necessary, however the power levels and configurations for other SBFD sectors could be left up to the vendors declaration with satisfying the minimum refe nsense sensitivity degradation.   </w:t>
      </w:r>
    </w:p>
    <w:p>
      <w:pPr>
        <w:pStyle w:val="33"/>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2) for the inter-site scenario, BS CLI problem in certain scenario is still one major problems. From our understanding, if necessary, this could be left up to the BS implementation. However considering the multi-vendor deployment without any coordination on the BS CLI problem, it</w:t>
      </w:r>
      <w:r>
        <w:rPr>
          <w:rFonts w:hint="default" w:cs="Times New Roman"/>
          <w:color w:val="auto"/>
          <w:sz w:val="20"/>
          <w:szCs w:val="20"/>
          <w:lang w:val="en-US" w:eastAsia="zh-CN"/>
        </w:rPr>
        <w:t>’</w:t>
      </w:r>
      <w:r>
        <w:rPr>
          <w:rFonts w:hint="eastAsia" w:cs="Times New Roman"/>
          <w:color w:val="auto"/>
          <w:sz w:val="20"/>
          <w:szCs w:val="20"/>
          <w:lang w:val="en-US" w:eastAsia="zh-CN"/>
        </w:rPr>
        <w:t>s better to define the minimum requirement or otherwise coordination solutions specified in other approach.</w:t>
      </w:r>
    </w:p>
    <w:p>
      <w:pPr>
        <w:pStyle w:val="33"/>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7a:</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3"/>
        <w:spacing w:after="120"/>
        <w:ind w:firstLine="0" w:firstLineChars="0"/>
        <w:rPr>
          <w:rFonts w:hint="default" w:cs="Times New Roman"/>
          <w:b w:val="0"/>
          <w:bCs w:val="0"/>
          <w:sz w:val="20"/>
          <w:szCs w:val="20"/>
          <w:lang w:val="en-US" w:eastAsia="zh-CN"/>
        </w:rPr>
      </w:pPr>
      <w:r>
        <w:rPr>
          <w:rFonts w:hint="eastAsia" w:cs="Times New Roman"/>
          <w:b/>
          <w:bCs/>
          <w:sz w:val="20"/>
          <w:szCs w:val="20"/>
          <w:lang w:val="en-US" w:eastAsia="zh-CN"/>
        </w:rPr>
        <w:t>Proposal 7b:</w:t>
      </w:r>
      <w:r>
        <w:rPr>
          <w:rFonts w:hint="eastAsia" w:cs="Times New Roman"/>
          <w:b w:val="0"/>
          <w:bCs w:val="0"/>
          <w:sz w:val="20"/>
          <w:szCs w:val="20"/>
          <w:lang w:val="en-US" w:eastAsia="zh-CN"/>
        </w:rPr>
        <w:t xml:space="preserve"> for the inter-site scenario, propose to define the minimum RF requirement as worst assumption if there are any coordination scheme specified in other WGs.</w:t>
      </w:r>
    </w:p>
    <w:p>
      <w:pPr>
        <w:pStyle w:val="33"/>
        <w:spacing w:after="120"/>
        <w:ind w:firstLine="0" w:firstLineChars="0"/>
      </w:pPr>
      <w:r>
        <w:drawing>
          <wp:inline distT="0" distB="0" distL="114300" distR="114300">
            <wp:extent cx="6185535" cy="1929130"/>
            <wp:effectExtent l="0" t="0" r="5715"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6185535" cy="192913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2.2.1-1: Example of REFSENS requirement for SBFD BS</w:t>
      </w:r>
    </w:p>
    <w:bookmarkEnd w:id="1"/>
    <w:bookmarkEnd w:id="2"/>
    <w:bookmarkEnd w:id="3"/>
    <w:bookmarkEnd w:id="4"/>
    <w:p>
      <w:pPr>
        <w:pStyle w:val="54"/>
        <w:tabs>
          <w:tab w:val="left" w:pos="567"/>
          <w:tab w:val="clear" w:pos="1985"/>
        </w:tabs>
        <w:adjustRightInd w:val="0"/>
        <w:ind w:left="510" w:hanging="510"/>
      </w:pPr>
      <w:r>
        <w:t>Conclusions</w:t>
      </w:r>
    </w:p>
    <w:p>
      <w:pPr>
        <w:jc w:val="left"/>
        <w:rPr>
          <w:rFonts w:hint="eastAsia"/>
          <w:lang w:val="en-US" w:eastAsia="zh-CN"/>
        </w:rPr>
      </w:pPr>
      <w:r>
        <w:rPr>
          <w:rFonts w:hint="eastAsia" w:eastAsiaTheme="minorEastAsia"/>
        </w:rPr>
        <w:t xml:space="preserve">In this contribution, </w:t>
      </w:r>
      <w:r>
        <w:rPr>
          <w:rFonts w:hint="eastAsia"/>
        </w:rPr>
        <w:t xml:space="preserve">we want to share </w:t>
      </w:r>
      <w:r>
        <w:rPr>
          <w:rFonts w:hint="eastAsia"/>
          <w:lang w:val="en-US" w:eastAsia="zh-CN"/>
        </w:rPr>
        <w:t>further views on the impacts on SBFD BS RF requirements</w:t>
      </w:r>
      <w:r>
        <w:rPr>
          <w:rFonts w:hint="eastAsia"/>
        </w:rPr>
        <w:t xml:space="preserve"> and proposals are made as following</w:t>
      </w:r>
      <w:r>
        <w:rPr>
          <w:rFonts w:hint="eastAsia"/>
          <w:lang w:val="en-US" w:eastAsia="zh-CN"/>
        </w:rPr>
        <w:t>:</w:t>
      </w:r>
    </w:p>
    <w:p>
      <w:pPr>
        <w:pStyle w:val="33"/>
        <w:spacing w:after="120"/>
        <w:ind w:firstLine="0" w:firstLineChars="0"/>
        <w:rPr>
          <w:rFonts w:hint="default"/>
          <w:sz w:val="20"/>
          <w:szCs w:val="20"/>
          <w:lang w:val="en-US" w:eastAsia="zh-CN"/>
        </w:rPr>
      </w:pPr>
      <w:r>
        <w:rPr>
          <w:rFonts w:hint="eastAsia"/>
          <w:b/>
          <w:bCs/>
          <w:sz w:val="20"/>
          <w:szCs w:val="20"/>
          <w:lang w:val="en-US" w:eastAsia="zh-CN"/>
        </w:rPr>
        <w:t xml:space="preserve">Proposal 1: </w:t>
      </w:r>
      <w:r>
        <w:rPr>
          <w:rFonts w:hint="eastAsia"/>
          <w:sz w:val="20"/>
          <w:szCs w:val="20"/>
          <w:lang w:val="en-US" w:eastAsia="zh-CN"/>
        </w:rPr>
        <w:t xml:space="preserve">to define the total dynamic range requirement as 10*log10(the number of DL scheduled PRB) </w:t>
      </w:r>
    </w:p>
    <w:p>
      <w:pPr>
        <w:pStyle w:val="33"/>
        <w:spacing w:after="120"/>
        <w:ind w:firstLine="0" w:firstLineChars="0"/>
        <w:rPr>
          <w:sz w:val="20"/>
          <w:szCs w:val="20"/>
        </w:rPr>
      </w:pPr>
      <w:r>
        <w:rPr>
          <w:rFonts w:hint="eastAsia"/>
          <w:b/>
          <w:bCs/>
          <w:sz w:val="20"/>
          <w:szCs w:val="20"/>
          <w:lang w:val="en-US" w:eastAsia="zh-CN"/>
        </w:rPr>
        <w:t>Proposal 2</w:t>
      </w:r>
      <w:r>
        <w:rPr>
          <w:rFonts w:hint="eastAsia"/>
          <w:sz w:val="20"/>
          <w:szCs w:val="20"/>
          <w:lang w:val="en-US" w:eastAsia="zh-CN"/>
        </w:rPr>
        <w:t>: for in-channel ACLR requirement, to consider this ACLR requirement in the gNB Refsens degradation via self interference and inter-sector interference</w:t>
      </w:r>
      <w:r>
        <w:rPr>
          <w:rFonts w:hint="eastAsia"/>
          <w:lang w:val="en-US" w:eastAsia="zh-CN"/>
        </w:rPr>
        <w:t xml:space="preserve"> implicitly</w:t>
      </w:r>
      <w:r>
        <w:rPr>
          <w:rFonts w:hint="eastAsia"/>
          <w:sz w:val="20"/>
          <w:szCs w:val="20"/>
          <w:lang w:val="en-US" w:eastAsia="zh-CN"/>
        </w:rPr>
        <w:t>.</w:t>
      </w:r>
    </w:p>
    <w:p>
      <w:pPr>
        <w:pStyle w:val="33"/>
        <w:spacing w:after="120"/>
        <w:ind w:firstLine="0" w:firstLineChars="0"/>
        <w:rPr>
          <w:rFonts w:hint="default" w:eastAsia="宋体"/>
          <w:sz w:val="20"/>
          <w:szCs w:val="20"/>
          <w:lang w:val="en-US" w:eastAsia="zh-CN"/>
        </w:rPr>
      </w:pPr>
      <w:r>
        <w:rPr>
          <w:rFonts w:hint="eastAsia"/>
          <w:b/>
          <w:bCs/>
          <w:sz w:val="20"/>
          <w:szCs w:val="20"/>
          <w:lang w:val="en-US" w:eastAsia="zh-CN"/>
        </w:rPr>
        <w:t>Proposal 3</w:t>
      </w:r>
      <w:r>
        <w:rPr>
          <w:rFonts w:hint="eastAsia"/>
          <w:sz w:val="20"/>
          <w:szCs w:val="20"/>
          <w:lang w:val="en-US" w:eastAsia="zh-CN"/>
        </w:rPr>
        <w:t>: for in-channel emission/OBUE, to consider this emission in the gNB Refsens degradation via self interference and inter-sector interference implicitly.</w:t>
      </w:r>
    </w:p>
    <w:p>
      <w:pPr>
        <w:pStyle w:val="33"/>
        <w:spacing w:after="120"/>
        <w:ind w:firstLine="0" w:firstLineChars="0"/>
        <w:rPr>
          <w:sz w:val="20"/>
          <w:szCs w:val="20"/>
        </w:rPr>
      </w:pPr>
      <w:r>
        <w:rPr>
          <w:rFonts w:hint="eastAsia"/>
          <w:b/>
          <w:bCs/>
          <w:sz w:val="20"/>
          <w:szCs w:val="20"/>
          <w:lang w:val="en-US" w:eastAsia="zh-CN"/>
        </w:rPr>
        <w:t>Proposal 4</w:t>
      </w:r>
      <w:r>
        <w:rPr>
          <w:rFonts w:hint="eastAsia"/>
          <w:sz w:val="20"/>
          <w:szCs w:val="20"/>
          <w:lang w:val="en-US" w:eastAsia="zh-CN"/>
        </w:rPr>
        <w:t xml:space="preserve">: for co-location and coexistence requirement, go with option 2 with declaration basis. </w:t>
      </w:r>
    </w:p>
    <w:p>
      <w:pPr>
        <w:pStyle w:val="33"/>
        <w:spacing w:after="120"/>
        <w:ind w:firstLine="0" w:firstLineChars="0"/>
        <w:rPr>
          <w:rFonts w:hint="default"/>
          <w:b w:val="0"/>
          <w:bCs w:val="0"/>
          <w:sz w:val="20"/>
          <w:szCs w:val="20"/>
          <w:lang w:val="en-US" w:eastAsia="zh-CN"/>
        </w:rPr>
      </w:pPr>
      <w:r>
        <w:rPr>
          <w:rFonts w:hint="eastAsia"/>
          <w:b/>
          <w:bCs/>
          <w:sz w:val="20"/>
          <w:szCs w:val="20"/>
          <w:lang w:val="en-US" w:eastAsia="zh-CN"/>
        </w:rPr>
        <w:t>Proposal 5a:</w:t>
      </w:r>
      <w:r>
        <w:rPr>
          <w:rFonts w:hint="eastAsia"/>
          <w:b w:val="0"/>
          <w:bCs w:val="0"/>
          <w:sz w:val="20"/>
          <w:szCs w:val="20"/>
          <w:lang w:val="en-US" w:eastAsia="zh-CN"/>
        </w:rPr>
        <w:t xml:space="preserve"> the existing Tx requirement is not applicable for SBFD time slots especially from Rx side and further discuss the exact requirement if necessary. </w:t>
      </w:r>
    </w:p>
    <w:p>
      <w:pPr>
        <w:pStyle w:val="33"/>
        <w:spacing w:after="120"/>
        <w:ind w:firstLine="0" w:firstLineChars="0"/>
        <w:rPr>
          <w:sz w:val="20"/>
          <w:szCs w:val="20"/>
        </w:rPr>
      </w:pPr>
      <w:r>
        <w:rPr>
          <w:rFonts w:hint="eastAsia"/>
          <w:b/>
          <w:bCs/>
          <w:sz w:val="20"/>
          <w:szCs w:val="20"/>
          <w:lang w:val="en-US" w:eastAsia="zh-CN"/>
        </w:rPr>
        <w:t>Proposal 5b:</w:t>
      </w:r>
      <w:r>
        <w:rPr>
          <w:rFonts w:hint="eastAsia"/>
          <w:b w:val="0"/>
          <w:bCs w:val="0"/>
          <w:sz w:val="20"/>
          <w:szCs w:val="20"/>
          <w:lang w:val="en-US" w:eastAsia="zh-CN"/>
        </w:rPr>
        <w:t xml:space="preserve"> if Tx requirement is considered for SBFD slots, then to add the Refsens degradation as one more performance metric in addition to transmitter OBUE/ACLR/spurious emission requirements.</w:t>
      </w:r>
    </w:p>
    <w:p>
      <w:pPr>
        <w:pStyle w:val="33"/>
        <w:numPr>
          <w:ilvl w:val="0"/>
          <w:numId w:val="0"/>
        </w:numPr>
        <w:spacing w:after="120" w:line="240" w:lineRule="auto"/>
        <w:ind w:firstLine="0" w:firstLineChars="0"/>
        <w:jc w:val="left"/>
      </w:pPr>
      <w:r>
        <w:rPr>
          <w:rFonts w:hint="eastAsia"/>
          <w:b/>
          <w:bCs/>
          <w:sz w:val="20"/>
          <w:szCs w:val="20"/>
          <w:lang w:val="en-US" w:eastAsia="zh-CN"/>
        </w:rPr>
        <w:t>Proposal 6:</w:t>
      </w:r>
      <w:r>
        <w:rPr>
          <w:rFonts w:hint="eastAsia"/>
          <w:b w:val="0"/>
          <w:bCs w:val="0"/>
          <w:sz w:val="20"/>
          <w:szCs w:val="20"/>
          <w:lang w:val="en-US" w:eastAsia="zh-CN"/>
        </w:rPr>
        <w:t xml:space="preserve"> for receiver intermodulation requirement in the SBFD uplink symbols/slot, consider IMD between CW/NBB/general intermodulation interfering signal intermodulate with SBFD DL transmission with some performance degradation on SBFD receiver as shown in Figure 2.2.2-1.</w:t>
      </w:r>
    </w:p>
    <w:p>
      <w:pPr>
        <w:pStyle w:val="33"/>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7a:</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3"/>
        <w:spacing w:after="120"/>
        <w:ind w:firstLine="0" w:firstLineChars="0"/>
        <w:rPr>
          <w:rFonts w:hint="eastAsia"/>
          <w:lang w:val="en-US" w:eastAsia="zh-CN"/>
        </w:rPr>
      </w:pPr>
      <w:r>
        <w:rPr>
          <w:rFonts w:hint="eastAsia" w:cs="Times New Roman"/>
          <w:b/>
          <w:bCs/>
          <w:sz w:val="20"/>
          <w:szCs w:val="20"/>
          <w:lang w:val="en-US" w:eastAsia="zh-CN"/>
        </w:rPr>
        <w:t>Proposal 7b:</w:t>
      </w:r>
      <w:r>
        <w:rPr>
          <w:rFonts w:hint="eastAsia" w:cs="Times New Roman"/>
          <w:b w:val="0"/>
          <w:bCs w:val="0"/>
          <w:sz w:val="20"/>
          <w:szCs w:val="20"/>
          <w:lang w:val="en-US" w:eastAsia="zh-CN"/>
        </w:rPr>
        <w:t xml:space="preserve"> for the inter-site scenario, propose to define the minimum RF requirement as worst assumption if there are any coordination scheme specified in other WGs.</w:t>
      </w:r>
    </w:p>
    <w:p>
      <w:pPr>
        <w:pStyle w:val="54"/>
        <w:tabs>
          <w:tab w:val="left" w:pos="567"/>
          <w:tab w:val="clear" w:pos="1985"/>
        </w:tabs>
        <w:adjustRightInd w:val="0"/>
        <w:ind w:left="510" w:hanging="510"/>
      </w:pPr>
      <w:r>
        <w:t>References</w:t>
      </w:r>
    </w:p>
    <w:p>
      <w:pPr>
        <w:pStyle w:val="52"/>
        <w:numPr>
          <w:ilvl w:val="0"/>
          <w:numId w:val="8"/>
        </w:numPr>
        <w:rPr>
          <w:sz w:val="20"/>
          <w:szCs w:val="20"/>
        </w:rPr>
      </w:pPr>
      <w:r>
        <w:rPr>
          <w:rFonts w:hint="eastAsia"/>
          <w:sz w:val="20"/>
          <w:szCs w:val="20"/>
        </w:rPr>
        <w:t>R4-2302969, WF for BS RF requirements impact for SBFD operation, CATT, Approved.</w:t>
      </w:r>
    </w:p>
    <w:p>
      <w:pPr>
        <w:pStyle w:val="52"/>
        <w:numPr>
          <w:ilvl w:val="0"/>
          <w:numId w:val="8"/>
        </w:numPr>
        <w:rPr>
          <w:sz w:val="20"/>
          <w:szCs w:val="20"/>
        </w:rPr>
      </w:pPr>
      <w:r>
        <w:rPr>
          <w:rFonts w:hint="eastAsia"/>
          <w:sz w:val="20"/>
          <w:szCs w:val="20"/>
        </w:rPr>
        <w:t>TS 38.104 18.0.0</w:t>
      </w:r>
    </w:p>
    <w:p>
      <w:pPr>
        <w:pStyle w:val="52"/>
        <w:numPr>
          <w:ilvl w:val="0"/>
          <w:numId w:val="8"/>
        </w:numPr>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R4-2302969, WF for BS RF requirements impact for SBFD operation, Approved.</w:t>
      </w:r>
    </w:p>
    <w:p>
      <w:pPr>
        <w:pStyle w:val="52"/>
        <w:numPr>
          <w:ilvl w:val="0"/>
          <w:numId w:val="8"/>
        </w:numPr>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R4-2309790</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WF for RF feasibility study and BS requirements impact on SBFD operation</w:t>
      </w:r>
      <w:r>
        <w:rPr>
          <w:rFonts w:hint="eastAsia" w:ascii="Times New Roman" w:hAnsi="Times New Roman" w:eastAsia="宋体" w:cs="Times New Roman"/>
          <w:sz w:val="20"/>
          <w:szCs w:val="20"/>
          <w:lang w:val="en-US" w:eastAsia="zh-CN"/>
        </w:rPr>
        <w:t>, Samsung, Approved.</w:t>
      </w:r>
    </w:p>
    <w:p>
      <w:pPr>
        <w:pStyle w:val="52"/>
        <w:numPr>
          <w:ilvl w:val="0"/>
          <w:numId w:val="8"/>
        </w:numPr>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R4-2316941</w:t>
      </w:r>
      <w:r>
        <w:rPr>
          <w:rFonts w:hint="eastAsia" w:cs="Times New Roman"/>
          <w:sz w:val="20"/>
          <w:szCs w:val="20"/>
          <w:lang w:val="en-US" w:eastAsia="zh-CN"/>
        </w:rPr>
        <w:t xml:space="preserve">, </w:t>
      </w:r>
      <w:r>
        <w:rPr>
          <w:rFonts w:hint="eastAsia" w:ascii="Times New Roman" w:hAnsi="Times New Roman" w:eastAsia="宋体" w:cs="Times New Roman"/>
          <w:sz w:val="20"/>
          <w:szCs w:val="20"/>
        </w:rPr>
        <w:t>WF on SBFD BSRF requirements</w:t>
      </w:r>
      <w:r>
        <w:rPr>
          <w:rFonts w:hint="eastAsia" w:cs="Times New Roman"/>
          <w:sz w:val="20"/>
          <w:szCs w:val="20"/>
          <w:lang w:val="en-US" w:eastAsia="zh-CN"/>
        </w:rPr>
        <w:t>, Ericsson, Approved.</w:t>
      </w:r>
    </w:p>
    <w:p>
      <w:pPr>
        <w:pStyle w:val="52"/>
        <w:numPr>
          <w:ilvl w:val="0"/>
          <w:numId w:val="0"/>
        </w:numPr>
        <w:rPr>
          <w:sz w:val="20"/>
          <w:szCs w:val="20"/>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F22342E"/>
    <w:multiLevelType w:val="multilevel"/>
    <w:tmpl w:val="0F2234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2"/>
      <w:numFmt w:val="decimal"/>
      <w:pStyle w:val="9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7AD2032"/>
    <w:multiLevelType w:val="multilevel"/>
    <w:tmpl w:val="67AD20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4"/>
  </w:num>
  <w:num w:numId="4">
    <w:abstractNumId w:val="2"/>
  </w:num>
  <w:num w:numId="5">
    <w:abstractNumId w:val="5"/>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EF9"/>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BA"/>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56"/>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2D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5C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419"/>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3CED"/>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D1"/>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136"/>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938"/>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D46D0"/>
    <w:rsid w:val="01115B33"/>
    <w:rsid w:val="0112068B"/>
    <w:rsid w:val="01133912"/>
    <w:rsid w:val="01164A78"/>
    <w:rsid w:val="011B7946"/>
    <w:rsid w:val="011D1547"/>
    <w:rsid w:val="011D37E2"/>
    <w:rsid w:val="012823DD"/>
    <w:rsid w:val="012A6A7A"/>
    <w:rsid w:val="013A4C94"/>
    <w:rsid w:val="01442D89"/>
    <w:rsid w:val="01555ACC"/>
    <w:rsid w:val="01594895"/>
    <w:rsid w:val="015C06BF"/>
    <w:rsid w:val="015F18F2"/>
    <w:rsid w:val="015F5FA3"/>
    <w:rsid w:val="016800B9"/>
    <w:rsid w:val="01692EFE"/>
    <w:rsid w:val="017059E0"/>
    <w:rsid w:val="01791D2E"/>
    <w:rsid w:val="017F0BBE"/>
    <w:rsid w:val="01821D8F"/>
    <w:rsid w:val="01831792"/>
    <w:rsid w:val="018C2266"/>
    <w:rsid w:val="018C3642"/>
    <w:rsid w:val="018D7DCE"/>
    <w:rsid w:val="0195201D"/>
    <w:rsid w:val="019C3DA8"/>
    <w:rsid w:val="019C47D8"/>
    <w:rsid w:val="01A402CD"/>
    <w:rsid w:val="01A742A2"/>
    <w:rsid w:val="01A97ED9"/>
    <w:rsid w:val="01BE34DB"/>
    <w:rsid w:val="01BE6ACE"/>
    <w:rsid w:val="01C027D4"/>
    <w:rsid w:val="01C32135"/>
    <w:rsid w:val="01CB0428"/>
    <w:rsid w:val="01CB7A2C"/>
    <w:rsid w:val="01CF07AE"/>
    <w:rsid w:val="01D3191C"/>
    <w:rsid w:val="01D518FC"/>
    <w:rsid w:val="01D57F00"/>
    <w:rsid w:val="01D615E1"/>
    <w:rsid w:val="01E028EE"/>
    <w:rsid w:val="01E13E3C"/>
    <w:rsid w:val="01E1598F"/>
    <w:rsid w:val="01E268ED"/>
    <w:rsid w:val="01E732EB"/>
    <w:rsid w:val="01E83BF9"/>
    <w:rsid w:val="01EB414A"/>
    <w:rsid w:val="01ED0229"/>
    <w:rsid w:val="01F116DD"/>
    <w:rsid w:val="01F33D9D"/>
    <w:rsid w:val="01F60577"/>
    <w:rsid w:val="01F84E20"/>
    <w:rsid w:val="01F90861"/>
    <w:rsid w:val="02016155"/>
    <w:rsid w:val="020F4070"/>
    <w:rsid w:val="021042F2"/>
    <w:rsid w:val="021430EF"/>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07702"/>
    <w:rsid w:val="02532AA9"/>
    <w:rsid w:val="025732DD"/>
    <w:rsid w:val="025D73DB"/>
    <w:rsid w:val="025F0936"/>
    <w:rsid w:val="0262197E"/>
    <w:rsid w:val="027035EC"/>
    <w:rsid w:val="02757515"/>
    <w:rsid w:val="02785920"/>
    <w:rsid w:val="027966C7"/>
    <w:rsid w:val="02800F27"/>
    <w:rsid w:val="028748E0"/>
    <w:rsid w:val="02877E6A"/>
    <w:rsid w:val="02892A7A"/>
    <w:rsid w:val="028961D7"/>
    <w:rsid w:val="02927A98"/>
    <w:rsid w:val="029342BD"/>
    <w:rsid w:val="029B259F"/>
    <w:rsid w:val="029D3139"/>
    <w:rsid w:val="02A24276"/>
    <w:rsid w:val="02A275DD"/>
    <w:rsid w:val="02A8011A"/>
    <w:rsid w:val="02AB4CDA"/>
    <w:rsid w:val="02AC5FAC"/>
    <w:rsid w:val="02AF6836"/>
    <w:rsid w:val="02B06DC0"/>
    <w:rsid w:val="02B31189"/>
    <w:rsid w:val="02B85839"/>
    <w:rsid w:val="02BA4C26"/>
    <w:rsid w:val="02C86D51"/>
    <w:rsid w:val="02CE3DD2"/>
    <w:rsid w:val="02D232E9"/>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37BEC"/>
    <w:rsid w:val="03343BC7"/>
    <w:rsid w:val="03344D61"/>
    <w:rsid w:val="033A46A0"/>
    <w:rsid w:val="033D44BC"/>
    <w:rsid w:val="033F084E"/>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66BC6"/>
    <w:rsid w:val="03774924"/>
    <w:rsid w:val="037C60D1"/>
    <w:rsid w:val="037F5583"/>
    <w:rsid w:val="03822F79"/>
    <w:rsid w:val="03840B75"/>
    <w:rsid w:val="038C44EE"/>
    <w:rsid w:val="038F7CC5"/>
    <w:rsid w:val="0395764C"/>
    <w:rsid w:val="0396136F"/>
    <w:rsid w:val="03997FCC"/>
    <w:rsid w:val="039B69FD"/>
    <w:rsid w:val="039F6825"/>
    <w:rsid w:val="03A32E58"/>
    <w:rsid w:val="03A73F1E"/>
    <w:rsid w:val="03AD4ECE"/>
    <w:rsid w:val="03AF5BCC"/>
    <w:rsid w:val="03B92E34"/>
    <w:rsid w:val="03BA301D"/>
    <w:rsid w:val="03BE4B83"/>
    <w:rsid w:val="03C0647A"/>
    <w:rsid w:val="03C6618A"/>
    <w:rsid w:val="03CD06E1"/>
    <w:rsid w:val="03CD6E1F"/>
    <w:rsid w:val="03D21375"/>
    <w:rsid w:val="03D2672D"/>
    <w:rsid w:val="03D4427A"/>
    <w:rsid w:val="03D827A5"/>
    <w:rsid w:val="03E43B45"/>
    <w:rsid w:val="03E54642"/>
    <w:rsid w:val="03EC4D32"/>
    <w:rsid w:val="03F54B29"/>
    <w:rsid w:val="03F81356"/>
    <w:rsid w:val="03F947E9"/>
    <w:rsid w:val="03F95AB5"/>
    <w:rsid w:val="03FF3D36"/>
    <w:rsid w:val="04034FE6"/>
    <w:rsid w:val="040B2442"/>
    <w:rsid w:val="040C6238"/>
    <w:rsid w:val="040E704D"/>
    <w:rsid w:val="04184137"/>
    <w:rsid w:val="041875C1"/>
    <w:rsid w:val="04193A43"/>
    <w:rsid w:val="04225784"/>
    <w:rsid w:val="042443BC"/>
    <w:rsid w:val="04252816"/>
    <w:rsid w:val="043711E5"/>
    <w:rsid w:val="04375908"/>
    <w:rsid w:val="04376B0F"/>
    <w:rsid w:val="043B6120"/>
    <w:rsid w:val="043B7793"/>
    <w:rsid w:val="0444143C"/>
    <w:rsid w:val="0444149A"/>
    <w:rsid w:val="0444783F"/>
    <w:rsid w:val="044753DC"/>
    <w:rsid w:val="04501EB6"/>
    <w:rsid w:val="045835A5"/>
    <w:rsid w:val="045C0E21"/>
    <w:rsid w:val="045E1DEE"/>
    <w:rsid w:val="045F23BF"/>
    <w:rsid w:val="04605B56"/>
    <w:rsid w:val="04671100"/>
    <w:rsid w:val="046E568E"/>
    <w:rsid w:val="047817FB"/>
    <w:rsid w:val="04786ED3"/>
    <w:rsid w:val="04856247"/>
    <w:rsid w:val="04865E52"/>
    <w:rsid w:val="048829D4"/>
    <w:rsid w:val="04892630"/>
    <w:rsid w:val="04975A48"/>
    <w:rsid w:val="049B40DC"/>
    <w:rsid w:val="04A4594F"/>
    <w:rsid w:val="04AB2193"/>
    <w:rsid w:val="04BB3AAA"/>
    <w:rsid w:val="04C17608"/>
    <w:rsid w:val="04C1791D"/>
    <w:rsid w:val="04D0730C"/>
    <w:rsid w:val="04D21047"/>
    <w:rsid w:val="04D66461"/>
    <w:rsid w:val="04E72F97"/>
    <w:rsid w:val="04E9064C"/>
    <w:rsid w:val="04F91B85"/>
    <w:rsid w:val="04FC1006"/>
    <w:rsid w:val="050A2A82"/>
    <w:rsid w:val="051034CD"/>
    <w:rsid w:val="051C7234"/>
    <w:rsid w:val="051F43BC"/>
    <w:rsid w:val="05210F51"/>
    <w:rsid w:val="052432F7"/>
    <w:rsid w:val="05280A89"/>
    <w:rsid w:val="052F7FCE"/>
    <w:rsid w:val="05364832"/>
    <w:rsid w:val="05367F8C"/>
    <w:rsid w:val="053A307F"/>
    <w:rsid w:val="053E1AC2"/>
    <w:rsid w:val="05452B33"/>
    <w:rsid w:val="0545651B"/>
    <w:rsid w:val="054757CB"/>
    <w:rsid w:val="054D5017"/>
    <w:rsid w:val="055341CE"/>
    <w:rsid w:val="05583DC1"/>
    <w:rsid w:val="055A77BF"/>
    <w:rsid w:val="056428EF"/>
    <w:rsid w:val="05657F05"/>
    <w:rsid w:val="05687505"/>
    <w:rsid w:val="05693A0C"/>
    <w:rsid w:val="05734531"/>
    <w:rsid w:val="057809A7"/>
    <w:rsid w:val="05784E56"/>
    <w:rsid w:val="057B197C"/>
    <w:rsid w:val="057C59EF"/>
    <w:rsid w:val="05804262"/>
    <w:rsid w:val="05816D10"/>
    <w:rsid w:val="05831E4D"/>
    <w:rsid w:val="058E6ED4"/>
    <w:rsid w:val="05930F73"/>
    <w:rsid w:val="059339B6"/>
    <w:rsid w:val="059352BA"/>
    <w:rsid w:val="05940F3F"/>
    <w:rsid w:val="05991C8F"/>
    <w:rsid w:val="05A706E9"/>
    <w:rsid w:val="05A847A0"/>
    <w:rsid w:val="05AC1E9C"/>
    <w:rsid w:val="05AC76A1"/>
    <w:rsid w:val="05B11A20"/>
    <w:rsid w:val="05B173DC"/>
    <w:rsid w:val="05B2256A"/>
    <w:rsid w:val="05B27D07"/>
    <w:rsid w:val="05B5220A"/>
    <w:rsid w:val="05B54E4B"/>
    <w:rsid w:val="05B658ED"/>
    <w:rsid w:val="05BC079D"/>
    <w:rsid w:val="05BE42A5"/>
    <w:rsid w:val="05C256BE"/>
    <w:rsid w:val="05C74028"/>
    <w:rsid w:val="05C96082"/>
    <w:rsid w:val="05CA69F0"/>
    <w:rsid w:val="05CC32B8"/>
    <w:rsid w:val="05D16BC6"/>
    <w:rsid w:val="05D32419"/>
    <w:rsid w:val="05DA7948"/>
    <w:rsid w:val="05DD6BFF"/>
    <w:rsid w:val="05E50CF1"/>
    <w:rsid w:val="05E660EA"/>
    <w:rsid w:val="05E73462"/>
    <w:rsid w:val="05EB0F6A"/>
    <w:rsid w:val="05EE3B4E"/>
    <w:rsid w:val="05F428D6"/>
    <w:rsid w:val="05FA1213"/>
    <w:rsid w:val="05FF3135"/>
    <w:rsid w:val="06003DE7"/>
    <w:rsid w:val="0600672F"/>
    <w:rsid w:val="060836A6"/>
    <w:rsid w:val="060945F2"/>
    <w:rsid w:val="060C5B07"/>
    <w:rsid w:val="060D249E"/>
    <w:rsid w:val="060D31B3"/>
    <w:rsid w:val="060F021C"/>
    <w:rsid w:val="060F29AB"/>
    <w:rsid w:val="06111076"/>
    <w:rsid w:val="061532D5"/>
    <w:rsid w:val="06165729"/>
    <w:rsid w:val="0624552B"/>
    <w:rsid w:val="062829E7"/>
    <w:rsid w:val="062D742E"/>
    <w:rsid w:val="063B08CD"/>
    <w:rsid w:val="063D2DF3"/>
    <w:rsid w:val="064001EE"/>
    <w:rsid w:val="06405193"/>
    <w:rsid w:val="06472853"/>
    <w:rsid w:val="06474EFD"/>
    <w:rsid w:val="06493A8C"/>
    <w:rsid w:val="064A35EA"/>
    <w:rsid w:val="064B521E"/>
    <w:rsid w:val="064C2727"/>
    <w:rsid w:val="06551131"/>
    <w:rsid w:val="065740AF"/>
    <w:rsid w:val="065A56A2"/>
    <w:rsid w:val="06611B74"/>
    <w:rsid w:val="0665756F"/>
    <w:rsid w:val="066C2807"/>
    <w:rsid w:val="06735C62"/>
    <w:rsid w:val="067570AB"/>
    <w:rsid w:val="067A304B"/>
    <w:rsid w:val="067B0933"/>
    <w:rsid w:val="067B39B4"/>
    <w:rsid w:val="067C2496"/>
    <w:rsid w:val="067D28AB"/>
    <w:rsid w:val="06805AC5"/>
    <w:rsid w:val="06836FEC"/>
    <w:rsid w:val="068523FB"/>
    <w:rsid w:val="068C6317"/>
    <w:rsid w:val="069B1966"/>
    <w:rsid w:val="06A20979"/>
    <w:rsid w:val="06A32A23"/>
    <w:rsid w:val="06A55EB9"/>
    <w:rsid w:val="06AE0568"/>
    <w:rsid w:val="06B0606D"/>
    <w:rsid w:val="06B445F7"/>
    <w:rsid w:val="06B506C7"/>
    <w:rsid w:val="06B548E2"/>
    <w:rsid w:val="06B758FE"/>
    <w:rsid w:val="06BA7F49"/>
    <w:rsid w:val="06BB4F9D"/>
    <w:rsid w:val="06BC6984"/>
    <w:rsid w:val="06C72EBF"/>
    <w:rsid w:val="06C9247F"/>
    <w:rsid w:val="06CB0A90"/>
    <w:rsid w:val="06CC41A1"/>
    <w:rsid w:val="06CD3A64"/>
    <w:rsid w:val="06D9435E"/>
    <w:rsid w:val="06DB3B6A"/>
    <w:rsid w:val="06DE3073"/>
    <w:rsid w:val="06E4672C"/>
    <w:rsid w:val="06F30672"/>
    <w:rsid w:val="06F35A7A"/>
    <w:rsid w:val="06F35AB6"/>
    <w:rsid w:val="06F511C2"/>
    <w:rsid w:val="06F66B05"/>
    <w:rsid w:val="06F87D3D"/>
    <w:rsid w:val="06FA7925"/>
    <w:rsid w:val="0708086F"/>
    <w:rsid w:val="070C0BED"/>
    <w:rsid w:val="070F2D41"/>
    <w:rsid w:val="071A417A"/>
    <w:rsid w:val="07220D76"/>
    <w:rsid w:val="072717DA"/>
    <w:rsid w:val="07277193"/>
    <w:rsid w:val="072B7E46"/>
    <w:rsid w:val="072F2139"/>
    <w:rsid w:val="073B285A"/>
    <w:rsid w:val="07436058"/>
    <w:rsid w:val="0745297A"/>
    <w:rsid w:val="074B7D74"/>
    <w:rsid w:val="074D656D"/>
    <w:rsid w:val="074E566F"/>
    <w:rsid w:val="074E69FF"/>
    <w:rsid w:val="074F3DF9"/>
    <w:rsid w:val="07532C15"/>
    <w:rsid w:val="07537C92"/>
    <w:rsid w:val="075670A4"/>
    <w:rsid w:val="075D4DBD"/>
    <w:rsid w:val="075E667A"/>
    <w:rsid w:val="07660D5A"/>
    <w:rsid w:val="07665169"/>
    <w:rsid w:val="076F4BA4"/>
    <w:rsid w:val="077148E3"/>
    <w:rsid w:val="07731BE6"/>
    <w:rsid w:val="07750A92"/>
    <w:rsid w:val="077B2B56"/>
    <w:rsid w:val="077D0D1F"/>
    <w:rsid w:val="077F542D"/>
    <w:rsid w:val="077F5D16"/>
    <w:rsid w:val="07817B19"/>
    <w:rsid w:val="078723DC"/>
    <w:rsid w:val="078B062A"/>
    <w:rsid w:val="07916BE4"/>
    <w:rsid w:val="07943B4C"/>
    <w:rsid w:val="079A15B1"/>
    <w:rsid w:val="079C2833"/>
    <w:rsid w:val="079F7019"/>
    <w:rsid w:val="07A2728D"/>
    <w:rsid w:val="07A90F07"/>
    <w:rsid w:val="07AA3E51"/>
    <w:rsid w:val="07B446C8"/>
    <w:rsid w:val="07BE51B2"/>
    <w:rsid w:val="07BF1CE8"/>
    <w:rsid w:val="07C27F0B"/>
    <w:rsid w:val="07D835FB"/>
    <w:rsid w:val="07DD018B"/>
    <w:rsid w:val="07E014BE"/>
    <w:rsid w:val="07E04AA8"/>
    <w:rsid w:val="07E85751"/>
    <w:rsid w:val="07ED18C2"/>
    <w:rsid w:val="07ED5339"/>
    <w:rsid w:val="07F03E33"/>
    <w:rsid w:val="07F97CF9"/>
    <w:rsid w:val="0800676F"/>
    <w:rsid w:val="080D098C"/>
    <w:rsid w:val="080F4BCD"/>
    <w:rsid w:val="08120AE0"/>
    <w:rsid w:val="08163C82"/>
    <w:rsid w:val="08166CC2"/>
    <w:rsid w:val="08171593"/>
    <w:rsid w:val="08264E1A"/>
    <w:rsid w:val="0835476E"/>
    <w:rsid w:val="08367FC2"/>
    <w:rsid w:val="08391661"/>
    <w:rsid w:val="083D63C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91A23"/>
    <w:rsid w:val="087C0773"/>
    <w:rsid w:val="087E046C"/>
    <w:rsid w:val="087F4555"/>
    <w:rsid w:val="08813C88"/>
    <w:rsid w:val="088D397A"/>
    <w:rsid w:val="08942BDF"/>
    <w:rsid w:val="089852F1"/>
    <w:rsid w:val="08990610"/>
    <w:rsid w:val="089A34F8"/>
    <w:rsid w:val="089B5449"/>
    <w:rsid w:val="089D6B7D"/>
    <w:rsid w:val="08A03B5E"/>
    <w:rsid w:val="08A275F2"/>
    <w:rsid w:val="08AB082D"/>
    <w:rsid w:val="08B21918"/>
    <w:rsid w:val="08B40442"/>
    <w:rsid w:val="08B94847"/>
    <w:rsid w:val="08BF30BF"/>
    <w:rsid w:val="08C14001"/>
    <w:rsid w:val="08C851A6"/>
    <w:rsid w:val="08CA142F"/>
    <w:rsid w:val="08D5128D"/>
    <w:rsid w:val="08D628F6"/>
    <w:rsid w:val="08D836B6"/>
    <w:rsid w:val="08DC1FCB"/>
    <w:rsid w:val="08E12C54"/>
    <w:rsid w:val="08E21515"/>
    <w:rsid w:val="08E95AD7"/>
    <w:rsid w:val="08F5200D"/>
    <w:rsid w:val="08F911CC"/>
    <w:rsid w:val="09016732"/>
    <w:rsid w:val="090565B5"/>
    <w:rsid w:val="09074A00"/>
    <w:rsid w:val="090C3434"/>
    <w:rsid w:val="09114110"/>
    <w:rsid w:val="09127CF4"/>
    <w:rsid w:val="091D2D60"/>
    <w:rsid w:val="092234B5"/>
    <w:rsid w:val="09226860"/>
    <w:rsid w:val="092C26C9"/>
    <w:rsid w:val="093153F9"/>
    <w:rsid w:val="09334A3F"/>
    <w:rsid w:val="094109B5"/>
    <w:rsid w:val="09444B9B"/>
    <w:rsid w:val="09485BFB"/>
    <w:rsid w:val="095236C0"/>
    <w:rsid w:val="0953050B"/>
    <w:rsid w:val="09546457"/>
    <w:rsid w:val="09562477"/>
    <w:rsid w:val="0958129F"/>
    <w:rsid w:val="09582472"/>
    <w:rsid w:val="096308E4"/>
    <w:rsid w:val="096508C0"/>
    <w:rsid w:val="09667AA9"/>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1F98"/>
    <w:rsid w:val="099D22A1"/>
    <w:rsid w:val="099E5439"/>
    <w:rsid w:val="09A50FD9"/>
    <w:rsid w:val="09A545D9"/>
    <w:rsid w:val="09A64698"/>
    <w:rsid w:val="09A77F3C"/>
    <w:rsid w:val="09A81CDD"/>
    <w:rsid w:val="09AC5074"/>
    <w:rsid w:val="09AD07F3"/>
    <w:rsid w:val="09B134FE"/>
    <w:rsid w:val="09B14A34"/>
    <w:rsid w:val="09B17671"/>
    <w:rsid w:val="09B97475"/>
    <w:rsid w:val="09BA5647"/>
    <w:rsid w:val="09C346F5"/>
    <w:rsid w:val="09CD6A58"/>
    <w:rsid w:val="09CD6EF5"/>
    <w:rsid w:val="09D3042F"/>
    <w:rsid w:val="09E14486"/>
    <w:rsid w:val="09E278B0"/>
    <w:rsid w:val="09E4648F"/>
    <w:rsid w:val="09E9127C"/>
    <w:rsid w:val="09EA27F6"/>
    <w:rsid w:val="09F1407D"/>
    <w:rsid w:val="09F21427"/>
    <w:rsid w:val="09F41FE9"/>
    <w:rsid w:val="09F71A40"/>
    <w:rsid w:val="09F839EB"/>
    <w:rsid w:val="0A093274"/>
    <w:rsid w:val="0A145E2C"/>
    <w:rsid w:val="0A15584C"/>
    <w:rsid w:val="0A186DA1"/>
    <w:rsid w:val="0A1A6ABE"/>
    <w:rsid w:val="0A1A7919"/>
    <w:rsid w:val="0A223227"/>
    <w:rsid w:val="0A22459E"/>
    <w:rsid w:val="0A2705E1"/>
    <w:rsid w:val="0A2A6A0B"/>
    <w:rsid w:val="0A312533"/>
    <w:rsid w:val="0A321F52"/>
    <w:rsid w:val="0A335E1D"/>
    <w:rsid w:val="0A386D79"/>
    <w:rsid w:val="0A3A0D5D"/>
    <w:rsid w:val="0A3A3462"/>
    <w:rsid w:val="0A4B36AD"/>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0739B"/>
    <w:rsid w:val="0AB142EE"/>
    <w:rsid w:val="0AB329A9"/>
    <w:rsid w:val="0AB36213"/>
    <w:rsid w:val="0AB83457"/>
    <w:rsid w:val="0ABA55D8"/>
    <w:rsid w:val="0AC23AEF"/>
    <w:rsid w:val="0AC341EA"/>
    <w:rsid w:val="0ACB4C99"/>
    <w:rsid w:val="0ACD4245"/>
    <w:rsid w:val="0AD57FD6"/>
    <w:rsid w:val="0AD84FAB"/>
    <w:rsid w:val="0ADD7B55"/>
    <w:rsid w:val="0AEC6E0E"/>
    <w:rsid w:val="0AF419F9"/>
    <w:rsid w:val="0AFA4BB4"/>
    <w:rsid w:val="0B044148"/>
    <w:rsid w:val="0B0569D0"/>
    <w:rsid w:val="0B0748D9"/>
    <w:rsid w:val="0B0A511E"/>
    <w:rsid w:val="0B0B36F7"/>
    <w:rsid w:val="0B0F70A1"/>
    <w:rsid w:val="0B110AC0"/>
    <w:rsid w:val="0B1157EF"/>
    <w:rsid w:val="0B155EAD"/>
    <w:rsid w:val="0B1765E0"/>
    <w:rsid w:val="0B1860A8"/>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273A"/>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72FAA"/>
    <w:rsid w:val="0C182E13"/>
    <w:rsid w:val="0C1D0A79"/>
    <w:rsid w:val="0C37145B"/>
    <w:rsid w:val="0C3946F8"/>
    <w:rsid w:val="0C3C0AB0"/>
    <w:rsid w:val="0C425986"/>
    <w:rsid w:val="0C513B64"/>
    <w:rsid w:val="0C52301A"/>
    <w:rsid w:val="0C540394"/>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7F4C5F"/>
    <w:rsid w:val="0C85742B"/>
    <w:rsid w:val="0C8726EC"/>
    <w:rsid w:val="0C873353"/>
    <w:rsid w:val="0C8822A2"/>
    <w:rsid w:val="0C885C99"/>
    <w:rsid w:val="0C8B4B61"/>
    <w:rsid w:val="0C9A4387"/>
    <w:rsid w:val="0C9A5914"/>
    <w:rsid w:val="0C9D3F03"/>
    <w:rsid w:val="0CA1546A"/>
    <w:rsid w:val="0CA4660D"/>
    <w:rsid w:val="0CA46672"/>
    <w:rsid w:val="0CA53279"/>
    <w:rsid w:val="0CA92BAC"/>
    <w:rsid w:val="0CA9385A"/>
    <w:rsid w:val="0CB12A40"/>
    <w:rsid w:val="0CB471A1"/>
    <w:rsid w:val="0CB532CA"/>
    <w:rsid w:val="0CB76F5C"/>
    <w:rsid w:val="0CB82D92"/>
    <w:rsid w:val="0CB90F2E"/>
    <w:rsid w:val="0CBB5A0F"/>
    <w:rsid w:val="0CBF6F93"/>
    <w:rsid w:val="0CC15DFD"/>
    <w:rsid w:val="0CCD0B2B"/>
    <w:rsid w:val="0CCD3B1C"/>
    <w:rsid w:val="0CDF0284"/>
    <w:rsid w:val="0CE245F1"/>
    <w:rsid w:val="0CE4001E"/>
    <w:rsid w:val="0D0056DA"/>
    <w:rsid w:val="0D0213CD"/>
    <w:rsid w:val="0D04575D"/>
    <w:rsid w:val="0D0612B8"/>
    <w:rsid w:val="0D066A9C"/>
    <w:rsid w:val="0D0714BC"/>
    <w:rsid w:val="0D113CA1"/>
    <w:rsid w:val="0D133224"/>
    <w:rsid w:val="0D136EF9"/>
    <w:rsid w:val="0D1411B3"/>
    <w:rsid w:val="0D1A52C8"/>
    <w:rsid w:val="0D1A5545"/>
    <w:rsid w:val="0D1C1D16"/>
    <w:rsid w:val="0D21615D"/>
    <w:rsid w:val="0D2251C2"/>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410C3"/>
    <w:rsid w:val="0D6A353C"/>
    <w:rsid w:val="0D826C81"/>
    <w:rsid w:val="0D8451BE"/>
    <w:rsid w:val="0D904522"/>
    <w:rsid w:val="0D976014"/>
    <w:rsid w:val="0D983B71"/>
    <w:rsid w:val="0DA060E8"/>
    <w:rsid w:val="0DA57AAE"/>
    <w:rsid w:val="0DA70310"/>
    <w:rsid w:val="0DAA5185"/>
    <w:rsid w:val="0DAF620A"/>
    <w:rsid w:val="0DB76EF8"/>
    <w:rsid w:val="0DBA4E56"/>
    <w:rsid w:val="0DBE576E"/>
    <w:rsid w:val="0DCE36F3"/>
    <w:rsid w:val="0DD44E78"/>
    <w:rsid w:val="0DD621E4"/>
    <w:rsid w:val="0DD93C4A"/>
    <w:rsid w:val="0DDD2372"/>
    <w:rsid w:val="0DDE1317"/>
    <w:rsid w:val="0DE55D4A"/>
    <w:rsid w:val="0DEE001E"/>
    <w:rsid w:val="0DEE77C3"/>
    <w:rsid w:val="0DF0225F"/>
    <w:rsid w:val="0DF367C2"/>
    <w:rsid w:val="0DF6418C"/>
    <w:rsid w:val="0DF67EF1"/>
    <w:rsid w:val="0DFC48AF"/>
    <w:rsid w:val="0DFF2594"/>
    <w:rsid w:val="0E005F1E"/>
    <w:rsid w:val="0E0215E7"/>
    <w:rsid w:val="0E0313B1"/>
    <w:rsid w:val="0E0347CF"/>
    <w:rsid w:val="0E062A96"/>
    <w:rsid w:val="0E0C3292"/>
    <w:rsid w:val="0E0D1A47"/>
    <w:rsid w:val="0E176FCD"/>
    <w:rsid w:val="0E1C0C6C"/>
    <w:rsid w:val="0E281319"/>
    <w:rsid w:val="0E290ABF"/>
    <w:rsid w:val="0E3217E8"/>
    <w:rsid w:val="0E375F38"/>
    <w:rsid w:val="0E387AA5"/>
    <w:rsid w:val="0E3F0E9A"/>
    <w:rsid w:val="0E400D03"/>
    <w:rsid w:val="0E411111"/>
    <w:rsid w:val="0E433FB1"/>
    <w:rsid w:val="0E485C9B"/>
    <w:rsid w:val="0E4C506A"/>
    <w:rsid w:val="0E5632B7"/>
    <w:rsid w:val="0E5E2B07"/>
    <w:rsid w:val="0E624C52"/>
    <w:rsid w:val="0E661FDB"/>
    <w:rsid w:val="0E6A17AC"/>
    <w:rsid w:val="0E766D1E"/>
    <w:rsid w:val="0E771E51"/>
    <w:rsid w:val="0E796EA0"/>
    <w:rsid w:val="0E7A2A61"/>
    <w:rsid w:val="0E7C0762"/>
    <w:rsid w:val="0E807AB8"/>
    <w:rsid w:val="0E8118C0"/>
    <w:rsid w:val="0E8133BA"/>
    <w:rsid w:val="0E832A96"/>
    <w:rsid w:val="0E9829A9"/>
    <w:rsid w:val="0E9A17E3"/>
    <w:rsid w:val="0EA01DE7"/>
    <w:rsid w:val="0EA11114"/>
    <w:rsid w:val="0EA35AC0"/>
    <w:rsid w:val="0EB34961"/>
    <w:rsid w:val="0EB9447E"/>
    <w:rsid w:val="0EC11B24"/>
    <w:rsid w:val="0EC468A2"/>
    <w:rsid w:val="0EC515D3"/>
    <w:rsid w:val="0ECA0784"/>
    <w:rsid w:val="0ECC4066"/>
    <w:rsid w:val="0ECE7C5F"/>
    <w:rsid w:val="0ED12B32"/>
    <w:rsid w:val="0EDA48C8"/>
    <w:rsid w:val="0EDB51C8"/>
    <w:rsid w:val="0EDC4D55"/>
    <w:rsid w:val="0EE71A06"/>
    <w:rsid w:val="0EF75D05"/>
    <w:rsid w:val="0EF9137D"/>
    <w:rsid w:val="0EF957FE"/>
    <w:rsid w:val="0EFE2ACB"/>
    <w:rsid w:val="0EFE6936"/>
    <w:rsid w:val="0F071524"/>
    <w:rsid w:val="0F0D240A"/>
    <w:rsid w:val="0F0E2F3A"/>
    <w:rsid w:val="0F12247A"/>
    <w:rsid w:val="0F172395"/>
    <w:rsid w:val="0F1D0ECD"/>
    <w:rsid w:val="0F282442"/>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4E8A"/>
    <w:rsid w:val="0F927346"/>
    <w:rsid w:val="0F9A3D44"/>
    <w:rsid w:val="0F9C6A08"/>
    <w:rsid w:val="0FA26E81"/>
    <w:rsid w:val="0FA615E1"/>
    <w:rsid w:val="0FAD0019"/>
    <w:rsid w:val="0FAD3299"/>
    <w:rsid w:val="0FAD3940"/>
    <w:rsid w:val="0FAE53B1"/>
    <w:rsid w:val="0FB15410"/>
    <w:rsid w:val="0FB261C9"/>
    <w:rsid w:val="0FB31343"/>
    <w:rsid w:val="0FB708A8"/>
    <w:rsid w:val="0FC12836"/>
    <w:rsid w:val="0FD323FD"/>
    <w:rsid w:val="0FD5277B"/>
    <w:rsid w:val="0FD95333"/>
    <w:rsid w:val="0FDD4692"/>
    <w:rsid w:val="0FEC322B"/>
    <w:rsid w:val="0FEC6EF6"/>
    <w:rsid w:val="10045EE6"/>
    <w:rsid w:val="100A2177"/>
    <w:rsid w:val="100C1580"/>
    <w:rsid w:val="100D3B17"/>
    <w:rsid w:val="10131F5A"/>
    <w:rsid w:val="10154FE6"/>
    <w:rsid w:val="10186ED5"/>
    <w:rsid w:val="10221C5C"/>
    <w:rsid w:val="1023666E"/>
    <w:rsid w:val="102A0398"/>
    <w:rsid w:val="103530A8"/>
    <w:rsid w:val="1035409F"/>
    <w:rsid w:val="1035503C"/>
    <w:rsid w:val="1037078D"/>
    <w:rsid w:val="103806C3"/>
    <w:rsid w:val="103A7991"/>
    <w:rsid w:val="103F5E69"/>
    <w:rsid w:val="104052A4"/>
    <w:rsid w:val="10413A4E"/>
    <w:rsid w:val="10437C03"/>
    <w:rsid w:val="10462479"/>
    <w:rsid w:val="104B2D15"/>
    <w:rsid w:val="10505BDE"/>
    <w:rsid w:val="1052582B"/>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960D4C"/>
    <w:rsid w:val="10A320F4"/>
    <w:rsid w:val="10A528A3"/>
    <w:rsid w:val="10AA45D4"/>
    <w:rsid w:val="10B21F6D"/>
    <w:rsid w:val="10B7486E"/>
    <w:rsid w:val="10CC5735"/>
    <w:rsid w:val="10D26FAB"/>
    <w:rsid w:val="10D679E0"/>
    <w:rsid w:val="10E558A9"/>
    <w:rsid w:val="10EF6A43"/>
    <w:rsid w:val="10F774D8"/>
    <w:rsid w:val="10FA45D2"/>
    <w:rsid w:val="11011C0C"/>
    <w:rsid w:val="11024527"/>
    <w:rsid w:val="110A4489"/>
    <w:rsid w:val="110B3022"/>
    <w:rsid w:val="111303E4"/>
    <w:rsid w:val="11150F62"/>
    <w:rsid w:val="111A28E5"/>
    <w:rsid w:val="11220149"/>
    <w:rsid w:val="112561EC"/>
    <w:rsid w:val="112A5C39"/>
    <w:rsid w:val="112F54D2"/>
    <w:rsid w:val="1133321C"/>
    <w:rsid w:val="113A7A9F"/>
    <w:rsid w:val="113C3916"/>
    <w:rsid w:val="1142087F"/>
    <w:rsid w:val="11457D8C"/>
    <w:rsid w:val="11461F96"/>
    <w:rsid w:val="11484DE1"/>
    <w:rsid w:val="11497B9B"/>
    <w:rsid w:val="114C3CA8"/>
    <w:rsid w:val="114D3A1D"/>
    <w:rsid w:val="11557068"/>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50D35"/>
    <w:rsid w:val="11996649"/>
    <w:rsid w:val="119E37E5"/>
    <w:rsid w:val="11A20C01"/>
    <w:rsid w:val="11A44788"/>
    <w:rsid w:val="11AA61BD"/>
    <w:rsid w:val="11AC7561"/>
    <w:rsid w:val="11AE6531"/>
    <w:rsid w:val="11AF439E"/>
    <w:rsid w:val="11B06530"/>
    <w:rsid w:val="11B50817"/>
    <w:rsid w:val="11B66269"/>
    <w:rsid w:val="11BA0839"/>
    <w:rsid w:val="11BA0898"/>
    <w:rsid w:val="11BE03C9"/>
    <w:rsid w:val="11CA3974"/>
    <w:rsid w:val="11D6623E"/>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477E27"/>
    <w:rsid w:val="125A02CC"/>
    <w:rsid w:val="1266746E"/>
    <w:rsid w:val="126716FB"/>
    <w:rsid w:val="12687BCA"/>
    <w:rsid w:val="127222F3"/>
    <w:rsid w:val="12724B5B"/>
    <w:rsid w:val="127B5EB7"/>
    <w:rsid w:val="127D422E"/>
    <w:rsid w:val="12845278"/>
    <w:rsid w:val="12863AEA"/>
    <w:rsid w:val="128C036A"/>
    <w:rsid w:val="128E70AD"/>
    <w:rsid w:val="129336C7"/>
    <w:rsid w:val="129D1643"/>
    <w:rsid w:val="129D41B7"/>
    <w:rsid w:val="12A45BB3"/>
    <w:rsid w:val="12AB6BF6"/>
    <w:rsid w:val="12AC51B9"/>
    <w:rsid w:val="12B1068C"/>
    <w:rsid w:val="12B506DC"/>
    <w:rsid w:val="12B5075C"/>
    <w:rsid w:val="12B97F45"/>
    <w:rsid w:val="12BC3C60"/>
    <w:rsid w:val="12BC6CB5"/>
    <w:rsid w:val="12C01A19"/>
    <w:rsid w:val="12C667C3"/>
    <w:rsid w:val="12C77089"/>
    <w:rsid w:val="12C900DF"/>
    <w:rsid w:val="12CB4026"/>
    <w:rsid w:val="12CD011B"/>
    <w:rsid w:val="12CE7041"/>
    <w:rsid w:val="12D16C9D"/>
    <w:rsid w:val="12D20ECB"/>
    <w:rsid w:val="12D525F4"/>
    <w:rsid w:val="12D74122"/>
    <w:rsid w:val="12D910FD"/>
    <w:rsid w:val="12D93C20"/>
    <w:rsid w:val="12DD694C"/>
    <w:rsid w:val="12DF0C5E"/>
    <w:rsid w:val="12E302DA"/>
    <w:rsid w:val="12EC215C"/>
    <w:rsid w:val="12EE6AFD"/>
    <w:rsid w:val="12F2420A"/>
    <w:rsid w:val="12F26532"/>
    <w:rsid w:val="12F538D3"/>
    <w:rsid w:val="12F85F0D"/>
    <w:rsid w:val="12F97513"/>
    <w:rsid w:val="12FA0A10"/>
    <w:rsid w:val="12FB7F3D"/>
    <w:rsid w:val="130611C7"/>
    <w:rsid w:val="1306326A"/>
    <w:rsid w:val="130C7624"/>
    <w:rsid w:val="131046DE"/>
    <w:rsid w:val="131654FF"/>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7F5631"/>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7592B"/>
    <w:rsid w:val="13BC1FE2"/>
    <w:rsid w:val="13BC2A0F"/>
    <w:rsid w:val="13BF66BA"/>
    <w:rsid w:val="13C22991"/>
    <w:rsid w:val="13CA31CB"/>
    <w:rsid w:val="13CD1105"/>
    <w:rsid w:val="13D27C86"/>
    <w:rsid w:val="13D765AD"/>
    <w:rsid w:val="13DC36E2"/>
    <w:rsid w:val="13E2021C"/>
    <w:rsid w:val="13E64EB6"/>
    <w:rsid w:val="13EA6BBA"/>
    <w:rsid w:val="13F0327E"/>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9025F"/>
    <w:rsid w:val="144C6544"/>
    <w:rsid w:val="14525796"/>
    <w:rsid w:val="14645A11"/>
    <w:rsid w:val="146A6230"/>
    <w:rsid w:val="146C476C"/>
    <w:rsid w:val="146F01A1"/>
    <w:rsid w:val="14702F84"/>
    <w:rsid w:val="147362C9"/>
    <w:rsid w:val="1474592B"/>
    <w:rsid w:val="1478164A"/>
    <w:rsid w:val="147D343A"/>
    <w:rsid w:val="147E74F9"/>
    <w:rsid w:val="14812D74"/>
    <w:rsid w:val="14836C15"/>
    <w:rsid w:val="14862300"/>
    <w:rsid w:val="148C00A0"/>
    <w:rsid w:val="148D3653"/>
    <w:rsid w:val="149E0A7B"/>
    <w:rsid w:val="14A82A63"/>
    <w:rsid w:val="14A86EA4"/>
    <w:rsid w:val="14A9690B"/>
    <w:rsid w:val="14AC358C"/>
    <w:rsid w:val="14B02452"/>
    <w:rsid w:val="14B76730"/>
    <w:rsid w:val="14BB09D6"/>
    <w:rsid w:val="14BE5AD9"/>
    <w:rsid w:val="14BF1899"/>
    <w:rsid w:val="14C767C8"/>
    <w:rsid w:val="14DE753E"/>
    <w:rsid w:val="14E83E72"/>
    <w:rsid w:val="14E91302"/>
    <w:rsid w:val="14EF2E29"/>
    <w:rsid w:val="14F51028"/>
    <w:rsid w:val="14F549EC"/>
    <w:rsid w:val="14F92549"/>
    <w:rsid w:val="14FB4950"/>
    <w:rsid w:val="14FD07CA"/>
    <w:rsid w:val="14FD4800"/>
    <w:rsid w:val="14FE45D8"/>
    <w:rsid w:val="15043E5E"/>
    <w:rsid w:val="150650CB"/>
    <w:rsid w:val="150B7DB0"/>
    <w:rsid w:val="150E6B8B"/>
    <w:rsid w:val="15157DF4"/>
    <w:rsid w:val="15181368"/>
    <w:rsid w:val="151B0462"/>
    <w:rsid w:val="151C01B2"/>
    <w:rsid w:val="151C45D8"/>
    <w:rsid w:val="152119C4"/>
    <w:rsid w:val="15290336"/>
    <w:rsid w:val="15297BD7"/>
    <w:rsid w:val="152D49AE"/>
    <w:rsid w:val="153C10F6"/>
    <w:rsid w:val="15427753"/>
    <w:rsid w:val="154359AC"/>
    <w:rsid w:val="154A6624"/>
    <w:rsid w:val="155424D6"/>
    <w:rsid w:val="155605E9"/>
    <w:rsid w:val="155B1745"/>
    <w:rsid w:val="155F651D"/>
    <w:rsid w:val="15602531"/>
    <w:rsid w:val="15655F19"/>
    <w:rsid w:val="157348EB"/>
    <w:rsid w:val="157500D8"/>
    <w:rsid w:val="15787FE5"/>
    <w:rsid w:val="157E21FE"/>
    <w:rsid w:val="157E5AA6"/>
    <w:rsid w:val="15845391"/>
    <w:rsid w:val="1587411C"/>
    <w:rsid w:val="158F6170"/>
    <w:rsid w:val="159F64DA"/>
    <w:rsid w:val="15A80FDC"/>
    <w:rsid w:val="15AA0C3A"/>
    <w:rsid w:val="15AA7A19"/>
    <w:rsid w:val="15AC5259"/>
    <w:rsid w:val="15AC61D7"/>
    <w:rsid w:val="15AD1EF1"/>
    <w:rsid w:val="15AE02B1"/>
    <w:rsid w:val="15AE46FA"/>
    <w:rsid w:val="15AE5475"/>
    <w:rsid w:val="15B02BE9"/>
    <w:rsid w:val="15B06B12"/>
    <w:rsid w:val="15B349DA"/>
    <w:rsid w:val="15B75136"/>
    <w:rsid w:val="15BA3933"/>
    <w:rsid w:val="15BC0DD2"/>
    <w:rsid w:val="15BD55BB"/>
    <w:rsid w:val="15BE3D9D"/>
    <w:rsid w:val="15C067FD"/>
    <w:rsid w:val="15C61DCD"/>
    <w:rsid w:val="15D13686"/>
    <w:rsid w:val="15D4474D"/>
    <w:rsid w:val="15D7597F"/>
    <w:rsid w:val="15DA3308"/>
    <w:rsid w:val="15E6441F"/>
    <w:rsid w:val="15F300DB"/>
    <w:rsid w:val="15F43400"/>
    <w:rsid w:val="15FB531E"/>
    <w:rsid w:val="15FC1A3C"/>
    <w:rsid w:val="16004352"/>
    <w:rsid w:val="16045B4A"/>
    <w:rsid w:val="160B7337"/>
    <w:rsid w:val="160C437B"/>
    <w:rsid w:val="161033BE"/>
    <w:rsid w:val="16116C59"/>
    <w:rsid w:val="16160429"/>
    <w:rsid w:val="16170655"/>
    <w:rsid w:val="161C3234"/>
    <w:rsid w:val="161F2B30"/>
    <w:rsid w:val="16227119"/>
    <w:rsid w:val="16264D71"/>
    <w:rsid w:val="162668A4"/>
    <w:rsid w:val="1629347A"/>
    <w:rsid w:val="163562A4"/>
    <w:rsid w:val="1638635F"/>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12992"/>
    <w:rsid w:val="16821B83"/>
    <w:rsid w:val="16853FE3"/>
    <w:rsid w:val="168A3277"/>
    <w:rsid w:val="168F5C07"/>
    <w:rsid w:val="169350D4"/>
    <w:rsid w:val="1695742C"/>
    <w:rsid w:val="169D1595"/>
    <w:rsid w:val="16A65B92"/>
    <w:rsid w:val="16AA56E3"/>
    <w:rsid w:val="16AC6E85"/>
    <w:rsid w:val="16AD0A57"/>
    <w:rsid w:val="16B31181"/>
    <w:rsid w:val="16B61724"/>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0816C4"/>
    <w:rsid w:val="171053FC"/>
    <w:rsid w:val="17152543"/>
    <w:rsid w:val="1715378E"/>
    <w:rsid w:val="17226C1A"/>
    <w:rsid w:val="17256955"/>
    <w:rsid w:val="17282A0F"/>
    <w:rsid w:val="172B6CEB"/>
    <w:rsid w:val="17323775"/>
    <w:rsid w:val="17343071"/>
    <w:rsid w:val="17350245"/>
    <w:rsid w:val="173639AE"/>
    <w:rsid w:val="1737194E"/>
    <w:rsid w:val="17382580"/>
    <w:rsid w:val="1743722C"/>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BD6"/>
    <w:rsid w:val="17D77CA7"/>
    <w:rsid w:val="17DD34AB"/>
    <w:rsid w:val="17E05611"/>
    <w:rsid w:val="17E860B9"/>
    <w:rsid w:val="17F223D1"/>
    <w:rsid w:val="17FA2BC8"/>
    <w:rsid w:val="17FC272C"/>
    <w:rsid w:val="17FE0B0A"/>
    <w:rsid w:val="17FE0C9F"/>
    <w:rsid w:val="17FF1A90"/>
    <w:rsid w:val="17FF3C9D"/>
    <w:rsid w:val="180A527C"/>
    <w:rsid w:val="180E0D42"/>
    <w:rsid w:val="181128B9"/>
    <w:rsid w:val="18116141"/>
    <w:rsid w:val="18157481"/>
    <w:rsid w:val="18174617"/>
    <w:rsid w:val="181B3A35"/>
    <w:rsid w:val="18233E33"/>
    <w:rsid w:val="18235E85"/>
    <w:rsid w:val="182668F8"/>
    <w:rsid w:val="18293533"/>
    <w:rsid w:val="182A7CDD"/>
    <w:rsid w:val="182B6670"/>
    <w:rsid w:val="182F0E3D"/>
    <w:rsid w:val="1832530E"/>
    <w:rsid w:val="18331DAD"/>
    <w:rsid w:val="183A4F66"/>
    <w:rsid w:val="183D1784"/>
    <w:rsid w:val="183E4121"/>
    <w:rsid w:val="18416E1E"/>
    <w:rsid w:val="18420253"/>
    <w:rsid w:val="184E0175"/>
    <w:rsid w:val="184E5599"/>
    <w:rsid w:val="18533B98"/>
    <w:rsid w:val="185A62F7"/>
    <w:rsid w:val="186B15D6"/>
    <w:rsid w:val="186C1DBE"/>
    <w:rsid w:val="186C5153"/>
    <w:rsid w:val="186E738D"/>
    <w:rsid w:val="187640ED"/>
    <w:rsid w:val="187C617F"/>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C778E"/>
    <w:rsid w:val="18DE1E44"/>
    <w:rsid w:val="18E67034"/>
    <w:rsid w:val="18E872D7"/>
    <w:rsid w:val="18EA68A3"/>
    <w:rsid w:val="18F06558"/>
    <w:rsid w:val="18F3471F"/>
    <w:rsid w:val="18F8729B"/>
    <w:rsid w:val="18F931E6"/>
    <w:rsid w:val="18FA042B"/>
    <w:rsid w:val="18FC1FFD"/>
    <w:rsid w:val="18FD5843"/>
    <w:rsid w:val="18FE4771"/>
    <w:rsid w:val="19046384"/>
    <w:rsid w:val="19065891"/>
    <w:rsid w:val="191132F7"/>
    <w:rsid w:val="19191340"/>
    <w:rsid w:val="191A7BCC"/>
    <w:rsid w:val="191C61B6"/>
    <w:rsid w:val="191E6BA1"/>
    <w:rsid w:val="19200B97"/>
    <w:rsid w:val="19251422"/>
    <w:rsid w:val="19254AA6"/>
    <w:rsid w:val="19267DCF"/>
    <w:rsid w:val="19287BE3"/>
    <w:rsid w:val="192A5704"/>
    <w:rsid w:val="192C3925"/>
    <w:rsid w:val="192C599A"/>
    <w:rsid w:val="1931536C"/>
    <w:rsid w:val="193774B0"/>
    <w:rsid w:val="193C4297"/>
    <w:rsid w:val="194666C2"/>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174CD"/>
    <w:rsid w:val="19B22EBC"/>
    <w:rsid w:val="19B94DE5"/>
    <w:rsid w:val="19BB7983"/>
    <w:rsid w:val="19C13C5E"/>
    <w:rsid w:val="19CA4702"/>
    <w:rsid w:val="19D76F77"/>
    <w:rsid w:val="19DE7440"/>
    <w:rsid w:val="19EB2A16"/>
    <w:rsid w:val="19EB4985"/>
    <w:rsid w:val="19ED386F"/>
    <w:rsid w:val="19FA215B"/>
    <w:rsid w:val="19FF1298"/>
    <w:rsid w:val="1A045B87"/>
    <w:rsid w:val="1A055D92"/>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1283D"/>
    <w:rsid w:val="1A646712"/>
    <w:rsid w:val="1A6A0EEA"/>
    <w:rsid w:val="1A6D22C8"/>
    <w:rsid w:val="1A722BB4"/>
    <w:rsid w:val="1A725418"/>
    <w:rsid w:val="1A7729A0"/>
    <w:rsid w:val="1A7A2EF9"/>
    <w:rsid w:val="1A7F4EDC"/>
    <w:rsid w:val="1A813E2C"/>
    <w:rsid w:val="1A8330CF"/>
    <w:rsid w:val="1A844150"/>
    <w:rsid w:val="1A87470F"/>
    <w:rsid w:val="1A8E0ECF"/>
    <w:rsid w:val="1A8F2FDB"/>
    <w:rsid w:val="1A960E81"/>
    <w:rsid w:val="1A972C69"/>
    <w:rsid w:val="1A9A0C93"/>
    <w:rsid w:val="1A9E2CFF"/>
    <w:rsid w:val="1AA570E6"/>
    <w:rsid w:val="1AAB7443"/>
    <w:rsid w:val="1AAE012D"/>
    <w:rsid w:val="1AB02AE4"/>
    <w:rsid w:val="1AB359A1"/>
    <w:rsid w:val="1AB710D0"/>
    <w:rsid w:val="1ABD31B9"/>
    <w:rsid w:val="1ABF3A95"/>
    <w:rsid w:val="1AC91D4C"/>
    <w:rsid w:val="1AC96E7F"/>
    <w:rsid w:val="1ACE2A77"/>
    <w:rsid w:val="1AD03069"/>
    <w:rsid w:val="1AD55B02"/>
    <w:rsid w:val="1AD71252"/>
    <w:rsid w:val="1AD85B94"/>
    <w:rsid w:val="1ADA6731"/>
    <w:rsid w:val="1ADC2627"/>
    <w:rsid w:val="1AF06C95"/>
    <w:rsid w:val="1AF34AE5"/>
    <w:rsid w:val="1AF3712C"/>
    <w:rsid w:val="1AF50E73"/>
    <w:rsid w:val="1AF84C8C"/>
    <w:rsid w:val="1AFE2079"/>
    <w:rsid w:val="1B00502A"/>
    <w:rsid w:val="1B040783"/>
    <w:rsid w:val="1B08241D"/>
    <w:rsid w:val="1B082CC4"/>
    <w:rsid w:val="1B0B3B20"/>
    <w:rsid w:val="1B0F5005"/>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254D1"/>
    <w:rsid w:val="1B5D3106"/>
    <w:rsid w:val="1B6D47C4"/>
    <w:rsid w:val="1B7461FC"/>
    <w:rsid w:val="1B7906CE"/>
    <w:rsid w:val="1B7C0650"/>
    <w:rsid w:val="1B7D07F3"/>
    <w:rsid w:val="1B7E6583"/>
    <w:rsid w:val="1B831B2B"/>
    <w:rsid w:val="1B921A5D"/>
    <w:rsid w:val="1B9368B9"/>
    <w:rsid w:val="1B944685"/>
    <w:rsid w:val="1B9C7A31"/>
    <w:rsid w:val="1BA258AE"/>
    <w:rsid w:val="1BA57F07"/>
    <w:rsid w:val="1BA72C15"/>
    <w:rsid w:val="1BA94625"/>
    <w:rsid w:val="1BAA3905"/>
    <w:rsid w:val="1BB01F6E"/>
    <w:rsid w:val="1BB81DD8"/>
    <w:rsid w:val="1BB848C7"/>
    <w:rsid w:val="1BB86F3A"/>
    <w:rsid w:val="1BC03AF5"/>
    <w:rsid w:val="1BC40236"/>
    <w:rsid w:val="1BCA7505"/>
    <w:rsid w:val="1BCE2AAE"/>
    <w:rsid w:val="1BCF1C70"/>
    <w:rsid w:val="1BD62D5C"/>
    <w:rsid w:val="1BD91032"/>
    <w:rsid w:val="1BDE6116"/>
    <w:rsid w:val="1BDE7855"/>
    <w:rsid w:val="1BE4439E"/>
    <w:rsid w:val="1BEF7D4B"/>
    <w:rsid w:val="1BF768CD"/>
    <w:rsid w:val="1BF92025"/>
    <w:rsid w:val="1BF9326D"/>
    <w:rsid w:val="1BF95F4D"/>
    <w:rsid w:val="1C004066"/>
    <w:rsid w:val="1C01101B"/>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8B3E7A"/>
    <w:rsid w:val="1C90266F"/>
    <w:rsid w:val="1C9A166E"/>
    <w:rsid w:val="1C9F48F1"/>
    <w:rsid w:val="1CA16CCE"/>
    <w:rsid w:val="1CAA7318"/>
    <w:rsid w:val="1CAD2752"/>
    <w:rsid w:val="1CAE4956"/>
    <w:rsid w:val="1CB702E9"/>
    <w:rsid w:val="1CBA5B32"/>
    <w:rsid w:val="1CBE0F85"/>
    <w:rsid w:val="1CBE5026"/>
    <w:rsid w:val="1CBF6626"/>
    <w:rsid w:val="1CC43DCA"/>
    <w:rsid w:val="1CCC1302"/>
    <w:rsid w:val="1CCD6D74"/>
    <w:rsid w:val="1CD97139"/>
    <w:rsid w:val="1CDE4B1C"/>
    <w:rsid w:val="1CE04F88"/>
    <w:rsid w:val="1CE13063"/>
    <w:rsid w:val="1CE2616E"/>
    <w:rsid w:val="1CEE64B9"/>
    <w:rsid w:val="1CEF13A0"/>
    <w:rsid w:val="1CF333A5"/>
    <w:rsid w:val="1CF478BA"/>
    <w:rsid w:val="1CF92223"/>
    <w:rsid w:val="1D023336"/>
    <w:rsid w:val="1D031DDA"/>
    <w:rsid w:val="1D03357C"/>
    <w:rsid w:val="1D0B731D"/>
    <w:rsid w:val="1D0E5623"/>
    <w:rsid w:val="1D101036"/>
    <w:rsid w:val="1D1D6A68"/>
    <w:rsid w:val="1D1F1D0C"/>
    <w:rsid w:val="1D2054C4"/>
    <w:rsid w:val="1D24658B"/>
    <w:rsid w:val="1D2775CA"/>
    <w:rsid w:val="1D2A54B2"/>
    <w:rsid w:val="1D2E77E8"/>
    <w:rsid w:val="1D386C1B"/>
    <w:rsid w:val="1D395E48"/>
    <w:rsid w:val="1D443916"/>
    <w:rsid w:val="1D451E70"/>
    <w:rsid w:val="1D4969F4"/>
    <w:rsid w:val="1D4C117F"/>
    <w:rsid w:val="1D511EFF"/>
    <w:rsid w:val="1D513E68"/>
    <w:rsid w:val="1D563E2F"/>
    <w:rsid w:val="1D5A17CD"/>
    <w:rsid w:val="1D6033FE"/>
    <w:rsid w:val="1D684015"/>
    <w:rsid w:val="1D6F79AF"/>
    <w:rsid w:val="1D7C6E19"/>
    <w:rsid w:val="1D811A99"/>
    <w:rsid w:val="1D8E6BF9"/>
    <w:rsid w:val="1D8F5B72"/>
    <w:rsid w:val="1D8F6826"/>
    <w:rsid w:val="1D991E02"/>
    <w:rsid w:val="1D992C02"/>
    <w:rsid w:val="1D9C5DA0"/>
    <w:rsid w:val="1D9C7126"/>
    <w:rsid w:val="1D9F462B"/>
    <w:rsid w:val="1DA265B5"/>
    <w:rsid w:val="1DAD48D5"/>
    <w:rsid w:val="1DB26ED0"/>
    <w:rsid w:val="1DB71985"/>
    <w:rsid w:val="1DB835A9"/>
    <w:rsid w:val="1DB90B19"/>
    <w:rsid w:val="1DBC071A"/>
    <w:rsid w:val="1DC603E1"/>
    <w:rsid w:val="1DCC607F"/>
    <w:rsid w:val="1DE02367"/>
    <w:rsid w:val="1DE029DA"/>
    <w:rsid w:val="1DEC45ED"/>
    <w:rsid w:val="1DF2745E"/>
    <w:rsid w:val="1E052C04"/>
    <w:rsid w:val="1E080143"/>
    <w:rsid w:val="1E093D7D"/>
    <w:rsid w:val="1E0E6DD0"/>
    <w:rsid w:val="1E143EF1"/>
    <w:rsid w:val="1E1478EA"/>
    <w:rsid w:val="1E1D7E95"/>
    <w:rsid w:val="1E201A27"/>
    <w:rsid w:val="1E224747"/>
    <w:rsid w:val="1E304B88"/>
    <w:rsid w:val="1E350CCE"/>
    <w:rsid w:val="1E3E02E7"/>
    <w:rsid w:val="1E470623"/>
    <w:rsid w:val="1E4F527C"/>
    <w:rsid w:val="1E6703B7"/>
    <w:rsid w:val="1E680B85"/>
    <w:rsid w:val="1E6B2336"/>
    <w:rsid w:val="1E7845CD"/>
    <w:rsid w:val="1E7B04E1"/>
    <w:rsid w:val="1E8028A0"/>
    <w:rsid w:val="1E832152"/>
    <w:rsid w:val="1E8B032D"/>
    <w:rsid w:val="1E8B7AD0"/>
    <w:rsid w:val="1E8E3E30"/>
    <w:rsid w:val="1E905770"/>
    <w:rsid w:val="1E9C35A3"/>
    <w:rsid w:val="1E9D2613"/>
    <w:rsid w:val="1E9D4737"/>
    <w:rsid w:val="1E9D55A8"/>
    <w:rsid w:val="1EA13E87"/>
    <w:rsid w:val="1EA2370B"/>
    <w:rsid w:val="1EAD5A37"/>
    <w:rsid w:val="1EAF4E87"/>
    <w:rsid w:val="1EB50D64"/>
    <w:rsid w:val="1EB86C34"/>
    <w:rsid w:val="1EC11B39"/>
    <w:rsid w:val="1EC237DE"/>
    <w:rsid w:val="1EC80437"/>
    <w:rsid w:val="1EC82B98"/>
    <w:rsid w:val="1ED15DFD"/>
    <w:rsid w:val="1ED3521E"/>
    <w:rsid w:val="1ED65123"/>
    <w:rsid w:val="1ED874EC"/>
    <w:rsid w:val="1ED94E25"/>
    <w:rsid w:val="1EDB6C5F"/>
    <w:rsid w:val="1EE36B24"/>
    <w:rsid w:val="1EE6740D"/>
    <w:rsid w:val="1EEC1621"/>
    <w:rsid w:val="1EED7A29"/>
    <w:rsid w:val="1EFD3B9E"/>
    <w:rsid w:val="1F0A353A"/>
    <w:rsid w:val="1F0D14F3"/>
    <w:rsid w:val="1F1212E5"/>
    <w:rsid w:val="1F141EF2"/>
    <w:rsid w:val="1F1A0839"/>
    <w:rsid w:val="1F1F1B22"/>
    <w:rsid w:val="1F1F668E"/>
    <w:rsid w:val="1F230888"/>
    <w:rsid w:val="1F303EA7"/>
    <w:rsid w:val="1F30637A"/>
    <w:rsid w:val="1F3111CE"/>
    <w:rsid w:val="1F3627F6"/>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B4830"/>
    <w:rsid w:val="1F8F113B"/>
    <w:rsid w:val="1F983232"/>
    <w:rsid w:val="1FA12A08"/>
    <w:rsid w:val="1FA76B03"/>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543F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2689E"/>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B2322"/>
    <w:rsid w:val="210B44F9"/>
    <w:rsid w:val="210D2CDA"/>
    <w:rsid w:val="211C7EF8"/>
    <w:rsid w:val="212B5C7B"/>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05F05"/>
    <w:rsid w:val="2163455D"/>
    <w:rsid w:val="2163647D"/>
    <w:rsid w:val="2165309E"/>
    <w:rsid w:val="216C54DE"/>
    <w:rsid w:val="21724037"/>
    <w:rsid w:val="21746A6C"/>
    <w:rsid w:val="217C7971"/>
    <w:rsid w:val="217D44BC"/>
    <w:rsid w:val="21841A26"/>
    <w:rsid w:val="218B5E42"/>
    <w:rsid w:val="21936BCB"/>
    <w:rsid w:val="219619F8"/>
    <w:rsid w:val="219842E4"/>
    <w:rsid w:val="21997056"/>
    <w:rsid w:val="219B2AEE"/>
    <w:rsid w:val="219D3F2A"/>
    <w:rsid w:val="21A0085F"/>
    <w:rsid w:val="21AB4F6A"/>
    <w:rsid w:val="21AB77F7"/>
    <w:rsid w:val="21AD30AE"/>
    <w:rsid w:val="21B50781"/>
    <w:rsid w:val="21BF03BC"/>
    <w:rsid w:val="21BF480E"/>
    <w:rsid w:val="21CA711F"/>
    <w:rsid w:val="21CB0E2A"/>
    <w:rsid w:val="21CE398F"/>
    <w:rsid w:val="21D06D34"/>
    <w:rsid w:val="21D3188F"/>
    <w:rsid w:val="21D372BD"/>
    <w:rsid w:val="21D47A13"/>
    <w:rsid w:val="21D52CEC"/>
    <w:rsid w:val="21D81BBC"/>
    <w:rsid w:val="21D83EFE"/>
    <w:rsid w:val="21DC4EFE"/>
    <w:rsid w:val="21E111CE"/>
    <w:rsid w:val="21E34ACF"/>
    <w:rsid w:val="21E42574"/>
    <w:rsid w:val="21E83B6C"/>
    <w:rsid w:val="21F54612"/>
    <w:rsid w:val="21FF71D8"/>
    <w:rsid w:val="22001AAC"/>
    <w:rsid w:val="22021B37"/>
    <w:rsid w:val="2209399D"/>
    <w:rsid w:val="220E63F0"/>
    <w:rsid w:val="22101F8E"/>
    <w:rsid w:val="221D39C3"/>
    <w:rsid w:val="221E498F"/>
    <w:rsid w:val="2225227E"/>
    <w:rsid w:val="222B496F"/>
    <w:rsid w:val="222D19AF"/>
    <w:rsid w:val="222E6801"/>
    <w:rsid w:val="222F381A"/>
    <w:rsid w:val="22315922"/>
    <w:rsid w:val="22343124"/>
    <w:rsid w:val="223F36ED"/>
    <w:rsid w:val="224E39DE"/>
    <w:rsid w:val="224E74D0"/>
    <w:rsid w:val="225C1E49"/>
    <w:rsid w:val="225F2E3A"/>
    <w:rsid w:val="22687F37"/>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90C42"/>
    <w:rsid w:val="22AA0362"/>
    <w:rsid w:val="22AA773F"/>
    <w:rsid w:val="22B059F5"/>
    <w:rsid w:val="22B06BDB"/>
    <w:rsid w:val="22B24998"/>
    <w:rsid w:val="22B63FB8"/>
    <w:rsid w:val="22BA2D5C"/>
    <w:rsid w:val="22BC7DF2"/>
    <w:rsid w:val="22BD19A6"/>
    <w:rsid w:val="22BD504B"/>
    <w:rsid w:val="22BF7669"/>
    <w:rsid w:val="22D01D8E"/>
    <w:rsid w:val="22D61781"/>
    <w:rsid w:val="22DC5BBF"/>
    <w:rsid w:val="22E30977"/>
    <w:rsid w:val="22E95A8D"/>
    <w:rsid w:val="22EE450E"/>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A0C19"/>
    <w:rsid w:val="235B47A5"/>
    <w:rsid w:val="235F162F"/>
    <w:rsid w:val="23673863"/>
    <w:rsid w:val="2367692D"/>
    <w:rsid w:val="236A053E"/>
    <w:rsid w:val="236D4F13"/>
    <w:rsid w:val="236E1F1C"/>
    <w:rsid w:val="236E578F"/>
    <w:rsid w:val="23752842"/>
    <w:rsid w:val="23752F81"/>
    <w:rsid w:val="237B7D6C"/>
    <w:rsid w:val="23837B67"/>
    <w:rsid w:val="23857493"/>
    <w:rsid w:val="238755B6"/>
    <w:rsid w:val="23885214"/>
    <w:rsid w:val="238B65DE"/>
    <w:rsid w:val="239130F2"/>
    <w:rsid w:val="239B728F"/>
    <w:rsid w:val="239E1829"/>
    <w:rsid w:val="23A702BB"/>
    <w:rsid w:val="23AE6E9E"/>
    <w:rsid w:val="23AF5E87"/>
    <w:rsid w:val="23B24668"/>
    <w:rsid w:val="23B3012F"/>
    <w:rsid w:val="23B31C60"/>
    <w:rsid w:val="23BD6F6C"/>
    <w:rsid w:val="23BF5EAF"/>
    <w:rsid w:val="23C62FD3"/>
    <w:rsid w:val="23C80F4A"/>
    <w:rsid w:val="23CE5D21"/>
    <w:rsid w:val="23D160BB"/>
    <w:rsid w:val="23D33566"/>
    <w:rsid w:val="23D603C8"/>
    <w:rsid w:val="23D644D8"/>
    <w:rsid w:val="23D9762E"/>
    <w:rsid w:val="23DF2C6B"/>
    <w:rsid w:val="23DF5BF7"/>
    <w:rsid w:val="23E52298"/>
    <w:rsid w:val="23EA16A4"/>
    <w:rsid w:val="23EE3F27"/>
    <w:rsid w:val="23F06611"/>
    <w:rsid w:val="24025B8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65AF5"/>
    <w:rsid w:val="24466D05"/>
    <w:rsid w:val="244F2484"/>
    <w:rsid w:val="24506BD9"/>
    <w:rsid w:val="2455289B"/>
    <w:rsid w:val="24574CEB"/>
    <w:rsid w:val="245D41D2"/>
    <w:rsid w:val="24667266"/>
    <w:rsid w:val="246C78C4"/>
    <w:rsid w:val="24731A96"/>
    <w:rsid w:val="247907AC"/>
    <w:rsid w:val="247A5C3A"/>
    <w:rsid w:val="247C5EE2"/>
    <w:rsid w:val="247C7B9E"/>
    <w:rsid w:val="247F6CC6"/>
    <w:rsid w:val="24837A35"/>
    <w:rsid w:val="24864A6F"/>
    <w:rsid w:val="248654B3"/>
    <w:rsid w:val="248907B2"/>
    <w:rsid w:val="2493620D"/>
    <w:rsid w:val="249A5E20"/>
    <w:rsid w:val="249C2676"/>
    <w:rsid w:val="249C6208"/>
    <w:rsid w:val="249E39E8"/>
    <w:rsid w:val="24A20ED0"/>
    <w:rsid w:val="24A34E4A"/>
    <w:rsid w:val="24A5512E"/>
    <w:rsid w:val="24AB587B"/>
    <w:rsid w:val="24AC41BF"/>
    <w:rsid w:val="24B826AF"/>
    <w:rsid w:val="24B93780"/>
    <w:rsid w:val="24BB4999"/>
    <w:rsid w:val="24BD38BA"/>
    <w:rsid w:val="24BE5CBD"/>
    <w:rsid w:val="24C01813"/>
    <w:rsid w:val="24C0685F"/>
    <w:rsid w:val="24C569AD"/>
    <w:rsid w:val="24CD6DBE"/>
    <w:rsid w:val="24CF61A7"/>
    <w:rsid w:val="24D20A06"/>
    <w:rsid w:val="24D51CDF"/>
    <w:rsid w:val="24DA1F99"/>
    <w:rsid w:val="24DB51C3"/>
    <w:rsid w:val="24E447FA"/>
    <w:rsid w:val="24E57853"/>
    <w:rsid w:val="24F17428"/>
    <w:rsid w:val="24F26D70"/>
    <w:rsid w:val="250253B9"/>
    <w:rsid w:val="25036592"/>
    <w:rsid w:val="250C5C6A"/>
    <w:rsid w:val="251375C2"/>
    <w:rsid w:val="25176627"/>
    <w:rsid w:val="251E0656"/>
    <w:rsid w:val="252053F9"/>
    <w:rsid w:val="25304AD5"/>
    <w:rsid w:val="25384CE9"/>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5588B"/>
    <w:rsid w:val="258750C7"/>
    <w:rsid w:val="258A3283"/>
    <w:rsid w:val="258E66DC"/>
    <w:rsid w:val="258F15BB"/>
    <w:rsid w:val="258F3903"/>
    <w:rsid w:val="258F5E0D"/>
    <w:rsid w:val="259231BD"/>
    <w:rsid w:val="25991A7B"/>
    <w:rsid w:val="259E27F9"/>
    <w:rsid w:val="25A77DD4"/>
    <w:rsid w:val="25AE0C1E"/>
    <w:rsid w:val="25B0455B"/>
    <w:rsid w:val="25B664B7"/>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196017"/>
    <w:rsid w:val="26217848"/>
    <w:rsid w:val="26281E72"/>
    <w:rsid w:val="262B147C"/>
    <w:rsid w:val="262D5E26"/>
    <w:rsid w:val="262E20E8"/>
    <w:rsid w:val="262E34C1"/>
    <w:rsid w:val="26342C74"/>
    <w:rsid w:val="263E0775"/>
    <w:rsid w:val="2640682F"/>
    <w:rsid w:val="26472F6E"/>
    <w:rsid w:val="264F2F73"/>
    <w:rsid w:val="264F2FA3"/>
    <w:rsid w:val="26510DB8"/>
    <w:rsid w:val="26531A21"/>
    <w:rsid w:val="26584523"/>
    <w:rsid w:val="265E055B"/>
    <w:rsid w:val="265F141A"/>
    <w:rsid w:val="26626905"/>
    <w:rsid w:val="26667EB2"/>
    <w:rsid w:val="266B1FB8"/>
    <w:rsid w:val="266F707A"/>
    <w:rsid w:val="267122CD"/>
    <w:rsid w:val="26756EFC"/>
    <w:rsid w:val="26777783"/>
    <w:rsid w:val="267B7FD0"/>
    <w:rsid w:val="267E204B"/>
    <w:rsid w:val="267E518B"/>
    <w:rsid w:val="26872779"/>
    <w:rsid w:val="26874AF8"/>
    <w:rsid w:val="2689029B"/>
    <w:rsid w:val="26993F8A"/>
    <w:rsid w:val="269B3F13"/>
    <w:rsid w:val="269C1ECB"/>
    <w:rsid w:val="26A17EEF"/>
    <w:rsid w:val="26A4288C"/>
    <w:rsid w:val="26A507B7"/>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637A7F"/>
    <w:rsid w:val="2770116F"/>
    <w:rsid w:val="27775944"/>
    <w:rsid w:val="27777FE6"/>
    <w:rsid w:val="278A6416"/>
    <w:rsid w:val="278E1CE5"/>
    <w:rsid w:val="279408D2"/>
    <w:rsid w:val="27994725"/>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D6BD4"/>
    <w:rsid w:val="280F7024"/>
    <w:rsid w:val="281035C6"/>
    <w:rsid w:val="28140E2A"/>
    <w:rsid w:val="281415D3"/>
    <w:rsid w:val="281746B7"/>
    <w:rsid w:val="281D0D3D"/>
    <w:rsid w:val="281E6E45"/>
    <w:rsid w:val="28251416"/>
    <w:rsid w:val="28255041"/>
    <w:rsid w:val="282A0437"/>
    <w:rsid w:val="283832F0"/>
    <w:rsid w:val="283A1E3E"/>
    <w:rsid w:val="283F7663"/>
    <w:rsid w:val="284543A1"/>
    <w:rsid w:val="284D2838"/>
    <w:rsid w:val="284D6244"/>
    <w:rsid w:val="28534205"/>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B97561"/>
    <w:rsid w:val="28C075A4"/>
    <w:rsid w:val="28CB1355"/>
    <w:rsid w:val="28CE2A8C"/>
    <w:rsid w:val="28D139F1"/>
    <w:rsid w:val="28D5169B"/>
    <w:rsid w:val="28DA6C60"/>
    <w:rsid w:val="28DB0A30"/>
    <w:rsid w:val="28DD02F3"/>
    <w:rsid w:val="28EA2814"/>
    <w:rsid w:val="28F33F0D"/>
    <w:rsid w:val="28F72DB8"/>
    <w:rsid w:val="28F95F71"/>
    <w:rsid w:val="28FE6A8A"/>
    <w:rsid w:val="290148D8"/>
    <w:rsid w:val="29046F8E"/>
    <w:rsid w:val="290517ED"/>
    <w:rsid w:val="2907178F"/>
    <w:rsid w:val="290753B9"/>
    <w:rsid w:val="2911132E"/>
    <w:rsid w:val="29122CB5"/>
    <w:rsid w:val="291233D5"/>
    <w:rsid w:val="2913735F"/>
    <w:rsid w:val="291415DC"/>
    <w:rsid w:val="291712DF"/>
    <w:rsid w:val="29192BE8"/>
    <w:rsid w:val="291C432F"/>
    <w:rsid w:val="291D21EF"/>
    <w:rsid w:val="291E0DAA"/>
    <w:rsid w:val="29246F88"/>
    <w:rsid w:val="29264B1F"/>
    <w:rsid w:val="2929142C"/>
    <w:rsid w:val="292A375F"/>
    <w:rsid w:val="292D30D5"/>
    <w:rsid w:val="29316984"/>
    <w:rsid w:val="293310A0"/>
    <w:rsid w:val="29361683"/>
    <w:rsid w:val="2938092A"/>
    <w:rsid w:val="293966D9"/>
    <w:rsid w:val="29425246"/>
    <w:rsid w:val="29460894"/>
    <w:rsid w:val="2946144E"/>
    <w:rsid w:val="2946760C"/>
    <w:rsid w:val="29496DE2"/>
    <w:rsid w:val="294A5BC8"/>
    <w:rsid w:val="294B5866"/>
    <w:rsid w:val="29504176"/>
    <w:rsid w:val="296865F6"/>
    <w:rsid w:val="296B20A7"/>
    <w:rsid w:val="297103BE"/>
    <w:rsid w:val="29741F0C"/>
    <w:rsid w:val="29762444"/>
    <w:rsid w:val="29783DAD"/>
    <w:rsid w:val="297D1A8B"/>
    <w:rsid w:val="2985173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404D"/>
    <w:rsid w:val="29F26903"/>
    <w:rsid w:val="2A06427E"/>
    <w:rsid w:val="2A0F1A72"/>
    <w:rsid w:val="2A0F7591"/>
    <w:rsid w:val="2A13176E"/>
    <w:rsid w:val="2A216713"/>
    <w:rsid w:val="2A220953"/>
    <w:rsid w:val="2A221383"/>
    <w:rsid w:val="2A222BC6"/>
    <w:rsid w:val="2A3056F6"/>
    <w:rsid w:val="2A3B063B"/>
    <w:rsid w:val="2A42105B"/>
    <w:rsid w:val="2A4467DF"/>
    <w:rsid w:val="2A450E8B"/>
    <w:rsid w:val="2A452F0A"/>
    <w:rsid w:val="2A472F8E"/>
    <w:rsid w:val="2A49761F"/>
    <w:rsid w:val="2A4C74B8"/>
    <w:rsid w:val="2A4D1393"/>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40EDD"/>
    <w:rsid w:val="2A945B4A"/>
    <w:rsid w:val="2A987018"/>
    <w:rsid w:val="2A9A66D4"/>
    <w:rsid w:val="2A9B2001"/>
    <w:rsid w:val="2AA12DD3"/>
    <w:rsid w:val="2AA72A01"/>
    <w:rsid w:val="2AA846B7"/>
    <w:rsid w:val="2AAA29AB"/>
    <w:rsid w:val="2AAC36BD"/>
    <w:rsid w:val="2AB04937"/>
    <w:rsid w:val="2AB14265"/>
    <w:rsid w:val="2AB86677"/>
    <w:rsid w:val="2AB874B3"/>
    <w:rsid w:val="2ABC2E55"/>
    <w:rsid w:val="2AC25F66"/>
    <w:rsid w:val="2AC90132"/>
    <w:rsid w:val="2ACA7BCD"/>
    <w:rsid w:val="2ACF5AEC"/>
    <w:rsid w:val="2ACF5EF0"/>
    <w:rsid w:val="2AD1479F"/>
    <w:rsid w:val="2AD62AB0"/>
    <w:rsid w:val="2AD66537"/>
    <w:rsid w:val="2ADC1447"/>
    <w:rsid w:val="2ADE1583"/>
    <w:rsid w:val="2AE361B5"/>
    <w:rsid w:val="2AE70523"/>
    <w:rsid w:val="2AF12CDF"/>
    <w:rsid w:val="2AF27DCB"/>
    <w:rsid w:val="2AF66CB6"/>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A8143B"/>
    <w:rsid w:val="2BAB4209"/>
    <w:rsid w:val="2BB44220"/>
    <w:rsid w:val="2BB61EA7"/>
    <w:rsid w:val="2BBA6EF5"/>
    <w:rsid w:val="2BC03979"/>
    <w:rsid w:val="2BC0760F"/>
    <w:rsid w:val="2BC50169"/>
    <w:rsid w:val="2BC941AF"/>
    <w:rsid w:val="2BCC5CCB"/>
    <w:rsid w:val="2BD654D8"/>
    <w:rsid w:val="2BDC02CD"/>
    <w:rsid w:val="2BDF4C9D"/>
    <w:rsid w:val="2BE64A3E"/>
    <w:rsid w:val="2BEA0C1C"/>
    <w:rsid w:val="2BEC4F7F"/>
    <w:rsid w:val="2BF01DD3"/>
    <w:rsid w:val="2BF51B27"/>
    <w:rsid w:val="2BFE7422"/>
    <w:rsid w:val="2C054CC1"/>
    <w:rsid w:val="2C11705A"/>
    <w:rsid w:val="2C1216FD"/>
    <w:rsid w:val="2C1A00D5"/>
    <w:rsid w:val="2C1A5C21"/>
    <w:rsid w:val="2C1F2C4F"/>
    <w:rsid w:val="2C253658"/>
    <w:rsid w:val="2C362A98"/>
    <w:rsid w:val="2C367960"/>
    <w:rsid w:val="2C395B9E"/>
    <w:rsid w:val="2C3B0543"/>
    <w:rsid w:val="2C3C2F69"/>
    <w:rsid w:val="2C416890"/>
    <w:rsid w:val="2C4725E8"/>
    <w:rsid w:val="2C4D767D"/>
    <w:rsid w:val="2C507085"/>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8D0274"/>
    <w:rsid w:val="2C9A28D3"/>
    <w:rsid w:val="2CA13CD9"/>
    <w:rsid w:val="2CA169C3"/>
    <w:rsid w:val="2CA171FA"/>
    <w:rsid w:val="2CA94834"/>
    <w:rsid w:val="2CAA6EA4"/>
    <w:rsid w:val="2CAB40A2"/>
    <w:rsid w:val="2CB85375"/>
    <w:rsid w:val="2CBC4209"/>
    <w:rsid w:val="2CC01E56"/>
    <w:rsid w:val="2CC12D54"/>
    <w:rsid w:val="2CC9742A"/>
    <w:rsid w:val="2CCB3003"/>
    <w:rsid w:val="2CD348F2"/>
    <w:rsid w:val="2CDA4FDA"/>
    <w:rsid w:val="2CDC7091"/>
    <w:rsid w:val="2CE128DC"/>
    <w:rsid w:val="2CE16D71"/>
    <w:rsid w:val="2CE80620"/>
    <w:rsid w:val="2CE8499B"/>
    <w:rsid w:val="2CF4201A"/>
    <w:rsid w:val="2CFB3CF7"/>
    <w:rsid w:val="2CFD5C64"/>
    <w:rsid w:val="2D0128E8"/>
    <w:rsid w:val="2D0236BF"/>
    <w:rsid w:val="2D0450C7"/>
    <w:rsid w:val="2D0879C2"/>
    <w:rsid w:val="2D0C5A2F"/>
    <w:rsid w:val="2D0E231B"/>
    <w:rsid w:val="2D145154"/>
    <w:rsid w:val="2D1A1A6B"/>
    <w:rsid w:val="2D1A4915"/>
    <w:rsid w:val="2D216CC3"/>
    <w:rsid w:val="2D2579B1"/>
    <w:rsid w:val="2D306B85"/>
    <w:rsid w:val="2D323D75"/>
    <w:rsid w:val="2D3E3CC1"/>
    <w:rsid w:val="2D400A9F"/>
    <w:rsid w:val="2D401596"/>
    <w:rsid w:val="2D437A98"/>
    <w:rsid w:val="2D4D7DD3"/>
    <w:rsid w:val="2D522EFD"/>
    <w:rsid w:val="2D540857"/>
    <w:rsid w:val="2D553A61"/>
    <w:rsid w:val="2D590555"/>
    <w:rsid w:val="2D590B97"/>
    <w:rsid w:val="2D624CCF"/>
    <w:rsid w:val="2D62509B"/>
    <w:rsid w:val="2D726428"/>
    <w:rsid w:val="2D765317"/>
    <w:rsid w:val="2D7A06F1"/>
    <w:rsid w:val="2D8151A4"/>
    <w:rsid w:val="2D866F5E"/>
    <w:rsid w:val="2DA01688"/>
    <w:rsid w:val="2DA02E9C"/>
    <w:rsid w:val="2DA414B8"/>
    <w:rsid w:val="2DAC5911"/>
    <w:rsid w:val="2DAD384B"/>
    <w:rsid w:val="2DB26465"/>
    <w:rsid w:val="2DB42B0B"/>
    <w:rsid w:val="2DBB1852"/>
    <w:rsid w:val="2DBB1ADE"/>
    <w:rsid w:val="2DBF0C3E"/>
    <w:rsid w:val="2DBF1601"/>
    <w:rsid w:val="2DBF4C3A"/>
    <w:rsid w:val="2DC12127"/>
    <w:rsid w:val="2DC464AC"/>
    <w:rsid w:val="2DC64268"/>
    <w:rsid w:val="2DCF2324"/>
    <w:rsid w:val="2DD06AF3"/>
    <w:rsid w:val="2DDD1D4C"/>
    <w:rsid w:val="2DE1625D"/>
    <w:rsid w:val="2DE20FD5"/>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D0B4B"/>
    <w:rsid w:val="2E1F2FD7"/>
    <w:rsid w:val="2E1F34A6"/>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D155D"/>
    <w:rsid w:val="2E6E0B52"/>
    <w:rsid w:val="2E6F4813"/>
    <w:rsid w:val="2E705752"/>
    <w:rsid w:val="2E7622E7"/>
    <w:rsid w:val="2E7A5E34"/>
    <w:rsid w:val="2E7B65BB"/>
    <w:rsid w:val="2E7F4515"/>
    <w:rsid w:val="2E825043"/>
    <w:rsid w:val="2E855C37"/>
    <w:rsid w:val="2E8863A8"/>
    <w:rsid w:val="2E8C14AE"/>
    <w:rsid w:val="2E8F09A4"/>
    <w:rsid w:val="2E9753EC"/>
    <w:rsid w:val="2E993370"/>
    <w:rsid w:val="2E9A086A"/>
    <w:rsid w:val="2EA049A8"/>
    <w:rsid w:val="2EA26ABE"/>
    <w:rsid w:val="2EA72F10"/>
    <w:rsid w:val="2EA74B75"/>
    <w:rsid w:val="2EA91B16"/>
    <w:rsid w:val="2EB1470F"/>
    <w:rsid w:val="2EB4369B"/>
    <w:rsid w:val="2EB61295"/>
    <w:rsid w:val="2EB9477E"/>
    <w:rsid w:val="2EC20117"/>
    <w:rsid w:val="2EC414ED"/>
    <w:rsid w:val="2EC71A13"/>
    <w:rsid w:val="2EDC714E"/>
    <w:rsid w:val="2EE37CBA"/>
    <w:rsid w:val="2EEA307E"/>
    <w:rsid w:val="2EEF6737"/>
    <w:rsid w:val="2EF276DC"/>
    <w:rsid w:val="2EF53C20"/>
    <w:rsid w:val="2EF95B79"/>
    <w:rsid w:val="2EFC49C3"/>
    <w:rsid w:val="2EFC5DDD"/>
    <w:rsid w:val="2F002CCF"/>
    <w:rsid w:val="2F0160A3"/>
    <w:rsid w:val="2F042573"/>
    <w:rsid w:val="2F074A3E"/>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6222D6"/>
    <w:rsid w:val="2F712CF7"/>
    <w:rsid w:val="2F7B346F"/>
    <w:rsid w:val="2F805714"/>
    <w:rsid w:val="2F8640C4"/>
    <w:rsid w:val="2F8B6940"/>
    <w:rsid w:val="2F8E5F5C"/>
    <w:rsid w:val="2F921FAC"/>
    <w:rsid w:val="2F9761A6"/>
    <w:rsid w:val="2F991B8A"/>
    <w:rsid w:val="2F996A23"/>
    <w:rsid w:val="2F9C26A3"/>
    <w:rsid w:val="2FA21231"/>
    <w:rsid w:val="2FAC4AA8"/>
    <w:rsid w:val="2FAD4759"/>
    <w:rsid w:val="2FAD5866"/>
    <w:rsid w:val="2FC46D3D"/>
    <w:rsid w:val="2FC5024D"/>
    <w:rsid w:val="2FCA0967"/>
    <w:rsid w:val="2FCC4DB7"/>
    <w:rsid w:val="2FD161FA"/>
    <w:rsid w:val="2FD84674"/>
    <w:rsid w:val="2FD951D8"/>
    <w:rsid w:val="2FDB17E1"/>
    <w:rsid w:val="2FE20568"/>
    <w:rsid w:val="2FE37171"/>
    <w:rsid w:val="2FF117AD"/>
    <w:rsid w:val="2FF17999"/>
    <w:rsid w:val="2FF40BAE"/>
    <w:rsid w:val="2FF46F2A"/>
    <w:rsid w:val="2FF86F82"/>
    <w:rsid w:val="2FF95633"/>
    <w:rsid w:val="2FFF5D7B"/>
    <w:rsid w:val="30010F70"/>
    <w:rsid w:val="3008733F"/>
    <w:rsid w:val="300B0FAF"/>
    <w:rsid w:val="300B661B"/>
    <w:rsid w:val="300C40AB"/>
    <w:rsid w:val="300F7F13"/>
    <w:rsid w:val="301075DB"/>
    <w:rsid w:val="30151A88"/>
    <w:rsid w:val="30157EC0"/>
    <w:rsid w:val="301774A2"/>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80144"/>
    <w:rsid w:val="30AE56DC"/>
    <w:rsid w:val="30B11330"/>
    <w:rsid w:val="30B27CEE"/>
    <w:rsid w:val="30B7307E"/>
    <w:rsid w:val="30B9566B"/>
    <w:rsid w:val="30BD4611"/>
    <w:rsid w:val="30C21A0E"/>
    <w:rsid w:val="30D83F23"/>
    <w:rsid w:val="30D9199C"/>
    <w:rsid w:val="30DC45E8"/>
    <w:rsid w:val="30DD6027"/>
    <w:rsid w:val="30DE16AB"/>
    <w:rsid w:val="30E1221A"/>
    <w:rsid w:val="30E6593B"/>
    <w:rsid w:val="30E734EF"/>
    <w:rsid w:val="30E749C8"/>
    <w:rsid w:val="30F24AB3"/>
    <w:rsid w:val="30F44A95"/>
    <w:rsid w:val="30F77A98"/>
    <w:rsid w:val="30FA21D8"/>
    <w:rsid w:val="30FC2A23"/>
    <w:rsid w:val="31074495"/>
    <w:rsid w:val="31126D8F"/>
    <w:rsid w:val="311646A1"/>
    <w:rsid w:val="31197ABC"/>
    <w:rsid w:val="311D5B14"/>
    <w:rsid w:val="3129246F"/>
    <w:rsid w:val="312D1F98"/>
    <w:rsid w:val="313350C5"/>
    <w:rsid w:val="31364DF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86250"/>
    <w:rsid w:val="317A322A"/>
    <w:rsid w:val="31822EAF"/>
    <w:rsid w:val="31840D12"/>
    <w:rsid w:val="31843EE7"/>
    <w:rsid w:val="31846FF6"/>
    <w:rsid w:val="318B5C65"/>
    <w:rsid w:val="318F5BF6"/>
    <w:rsid w:val="319268E9"/>
    <w:rsid w:val="31956B4E"/>
    <w:rsid w:val="319B3834"/>
    <w:rsid w:val="319D6381"/>
    <w:rsid w:val="31A047E9"/>
    <w:rsid w:val="31A53A0B"/>
    <w:rsid w:val="31A7307B"/>
    <w:rsid w:val="31A94576"/>
    <w:rsid w:val="31AC2EA3"/>
    <w:rsid w:val="31AE5704"/>
    <w:rsid w:val="31B127B9"/>
    <w:rsid w:val="31B23BA8"/>
    <w:rsid w:val="31B416D1"/>
    <w:rsid w:val="31BE139F"/>
    <w:rsid w:val="31C363A1"/>
    <w:rsid w:val="31CA5CF8"/>
    <w:rsid w:val="31CB26CD"/>
    <w:rsid w:val="31D06A52"/>
    <w:rsid w:val="31D14EB2"/>
    <w:rsid w:val="31E302B9"/>
    <w:rsid w:val="31E67042"/>
    <w:rsid w:val="31E82C59"/>
    <w:rsid w:val="31EF672A"/>
    <w:rsid w:val="31F20023"/>
    <w:rsid w:val="31F536F7"/>
    <w:rsid w:val="31FA7AEE"/>
    <w:rsid w:val="31FB60C5"/>
    <w:rsid w:val="31FC33B2"/>
    <w:rsid w:val="31FF488F"/>
    <w:rsid w:val="3209100C"/>
    <w:rsid w:val="320D7799"/>
    <w:rsid w:val="321E250B"/>
    <w:rsid w:val="32222438"/>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B7F8F"/>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F1008D"/>
    <w:rsid w:val="32F74A15"/>
    <w:rsid w:val="32F76D5D"/>
    <w:rsid w:val="32F86450"/>
    <w:rsid w:val="33023985"/>
    <w:rsid w:val="330244A4"/>
    <w:rsid w:val="330D20B2"/>
    <w:rsid w:val="330F1E44"/>
    <w:rsid w:val="33117605"/>
    <w:rsid w:val="3312027B"/>
    <w:rsid w:val="33152CB9"/>
    <w:rsid w:val="331747E7"/>
    <w:rsid w:val="331B37C6"/>
    <w:rsid w:val="331C390F"/>
    <w:rsid w:val="331F2D5B"/>
    <w:rsid w:val="333A0536"/>
    <w:rsid w:val="333E0FE1"/>
    <w:rsid w:val="33402116"/>
    <w:rsid w:val="33426E77"/>
    <w:rsid w:val="334865F1"/>
    <w:rsid w:val="334D7767"/>
    <w:rsid w:val="3353798A"/>
    <w:rsid w:val="33610DDA"/>
    <w:rsid w:val="3362171F"/>
    <w:rsid w:val="3366319E"/>
    <w:rsid w:val="336B1403"/>
    <w:rsid w:val="336B6669"/>
    <w:rsid w:val="336C2B69"/>
    <w:rsid w:val="33730002"/>
    <w:rsid w:val="33767D1F"/>
    <w:rsid w:val="337B6D3E"/>
    <w:rsid w:val="337F446B"/>
    <w:rsid w:val="337F7039"/>
    <w:rsid w:val="338A582E"/>
    <w:rsid w:val="338E29B0"/>
    <w:rsid w:val="33924A39"/>
    <w:rsid w:val="339902E6"/>
    <w:rsid w:val="339C724B"/>
    <w:rsid w:val="339D35FC"/>
    <w:rsid w:val="33A0218B"/>
    <w:rsid w:val="33A156DE"/>
    <w:rsid w:val="33AB6DF2"/>
    <w:rsid w:val="33B52233"/>
    <w:rsid w:val="33B70359"/>
    <w:rsid w:val="33BA1B32"/>
    <w:rsid w:val="33C37D5F"/>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0C7BEE"/>
    <w:rsid w:val="3411600B"/>
    <w:rsid w:val="34120DBA"/>
    <w:rsid w:val="341315B5"/>
    <w:rsid w:val="34133CF2"/>
    <w:rsid w:val="34147AA7"/>
    <w:rsid w:val="341808C3"/>
    <w:rsid w:val="34182B66"/>
    <w:rsid w:val="341C6CAD"/>
    <w:rsid w:val="34243353"/>
    <w:rsid w:val="34260D3D"/>
    <w:rsid w:val="34283B00"/>
    <w:rsid w:val="342D3CE2"/>
    <w:rsid w:val="3432232A"/>
    <w:rsid w:val="343237F3"/>
    <w:rsid w:val="34343D6C"/>
    <w:rsid w:val="34347DC5"/>
    <w:rsid w:val="34380493"/>
    <w:rsid w:val="34463967"/>
    <w:rsid w:val="344C08D2"/>
    <w:rsid w:val="345543D1"/>
    <w:rsid w:val="345A7367"/>
    <w:rsid w:val="345D2CD0"/>
    <w:rsid w:val="34681613"/>
    <w:rsid w:val="346C0AEA"/>
    <w:rsid w:val="34713A8E"/>
    <w:rsid w:val="3473748E"/>
    <w:rsid w:val="347E4B1A"/>
    <w:rsid w:val="347F540F"/>
    <w:rsid w:val="34863322"/>
    <w:rsid w:val="34885DB3"/>
    <w:rsid w:val="348F7A0E"/>
    <w:rsid w:val="3491233E"/>
    <w:rsid w:val="34952D33"/>
    <w:rsid w:val="349A0B7D"/>
    <w:rsid w:val="34A374C4"/>
    <w:rsid w:val="34A851E8"/>
    <w:rsid w:val="34B51A96"/>
    <w:rsid w:val="34BD6A67"/>
    <w:rsid w:val="34BE1BCB"/>
    <w:rsid w:val="34C63F14"/>
    <w:rsid w:val="34C800BD"/>
    <w:rsid w:val="34CC1DC7"/>
    <w:rsid w:val="34CE4218"/>
    <w:rsid w:val="34D21E07"/>
    <w:rsid w:val="34D46708"/>
    <w:rsid w:val="34D47C8A"/>
    <w:rsid w:val="34D874E5"/>
    <w:rsid w:val="34DA37FD"/>
    <w:rsid w:val="34DB0CAC"/>
    <w:rsid w:val="34DD3DF9"/>
    <w:rsid w:val="34E55171"/>
    <w:rsid w:val="34E972FC"/>
    <w:rsid w:val="34F47C15"/>
    <w:rsid w:val="34F678C7"/>
    <w:rsid w:val="34F83EF3"/>
    <w:rsid w:val="34F953E0"/>
    <w:rsid w:val="34FF2166"/>
    <w:rsid w:val="350756C5"/>
    <w:rsid w:val="35080D0B"/>
    <w:rsid w:val="3508162E"/>
    <w:rsid w:val="350B6655"/>
    <w:rsid w:val="350B69C5"/>
    <w:rsid w:val="35123482"/>
    <w:rsid w:val="351C075B"/>
    <w:rsid w:val="35233F18"/>
    <w:rsid w:val="3524348B"/>
    <w:rsid w:val="35295D65"/>
    <w:rsid w:val="352B5169"/>
    <w:rsid w:val="352C340B"/>
    <w:rsid w:val="35333FF2"/>
    <w:rsid w:val="3537698A"/>
    <w:rsid w:val="353C4905"/>
    <w:rsid w:val="353C75ED"/>
    <w:rsid w:val="353E4764"/>
    <w:rsid w:val="353E791E"/>
    <w:rsid w:val="353F77B8"/>
    <w:rsid w:val="354008AB"/>
    <w:rsid w:val="354966A2"/>
    <w:rsid w:val="354C7B38"/>
    <w:rsid w:val="354F28B8"/>
    <w:rsid w:val="35533E64"/>
    <w:rsid w:val="35562F9E"/>
    <w:rsid w:val="355721EF"/>
    <w:rsid w:val="35581BA8"/>
    <w:rsid w:val="355B280E"/>
    <w:rsid w:val="355B3BD4"/>
    <w:rsid w:val="355D687A"/>
    <w:rsid w:val="356161F3"/>
    <w:rsid w:val="35691707"/>
    <w:rsid w:val="35744059"/>
    <w:rsid w:val="35771AC2"/>
    <w:rsid w:val="357960B4"/>
    <w:rsid w:val="357C419A"/>
    <w:rsid w:val="358618B0"/>
    <w:rsid w:val="3589285D"/>
    <w:rsid w:val="35892A88"/>
    <w:rsid w:val="358D18F4"/>
    <w:rsid w:val="359C1F6C"/>
    <w:rsid w:val="35A0338E"/>
    <w:rsid w:val="35A16611"/>
    <w:rsid w:val="35A31A0A"/>
    <w:rsid w:val="35A573DB"/>
    <w:rsid w:val="35AB5D7D"/>
    <w:rsid w:val="35AC37E6"/>
    <w:rsid w:val="35B031A8"/>
    <w:rsid w:val="35B31B82"/>
    <w:rsid w:val="35BA70A6"/>
    <w:rsid w:val="35BD15AC"/>
    <w:rsid w:val="35BE4ECD"/>
    <w:rsid w:val="35C009AB"/>
    <w:rsid w:val="35C154C0"/>
    <w:rsid w:val="35C42816"/>
    <w:rsid w:val="35C7584B"/>
    <w:rsid w:val="35D31DE1"/>
    <w:rsid w:val="35D801CA"/>
    <w:rsid w:val="35DD2AEE"/>
    <w:rsid w:val="35E8677E"/>
    <w:rsid w:val="35EA6509"/>
    <w:rsid w:val="35ED04DC"/>
    <w:rsid w:val="35F14190"/>
    <w:rsid w:val="35F44E5C"/>
    <w:rsid w:val="35F45994"/>
    <w:rsid w:val="35FA59F1"/>
    <w:rsid w:val="35FE0155"/>
    <w:rsid w:val="36001BD9"/>
    <w:rsid w:val="3602050E"/>
    <w:rsid w:val="36101A49"/>
    <w:rsid w:val="361A2F27"/>
    <w:rsid w:val="36226641"/>
    <w:rsid w:val="36265F04"/>
    <w:rsid w:val="36266913"/>
    <w:rsid w:val="36297754"/>
    <w:rsid w:val="3638515D"/>
    <w:rsid w:val="363A3920"/>
    <w:rsid w:val="363C02DD"/>
    <w:rsid w:val="363F4D43"/>
    <w:rsid w:val="36407BF2"/>
    <w:rsid w:val="36486576"/>
    <w:rsid w:val="364B2312"/>
    <w:rsid w:val="3657756B"/>
    <w:rsid w:val="365955CF"/>
    <w:rsid w:val="365A2877"/>
    <w:rsid w:val="365B22B3"/>
    <w:rsid w:val="365D514C"/>
    <w:rsid w:val="365F765A"/>
    <w:rsid w:val="36625DA1"/>
    <w:rsid w:val="36627C0A"/>
    <w:rsid w:val="36693B36"/>
    <w:rsid w:val="366B0AAA"/>
    <w:rsid w:val="366B6257"/>
    <w:rsid w:val="366D49A8"/>
    <w:rsid w:val="36752210"/>
    <w:rsid w:val="36820E97"/>
    <w:rsid w:val="36884498"/>
    <w:rsid w:val="36906BDE"/>
    <w:rsid w:val="36922B55"/>
    <w:rsid w:val="369626CD"/>
    <w:rsid w:val="36991125"/>
    <w:rsid w:val="36A312B2"/>
    <w:rsid w:val="36A44E51"/>
    <w:rsid w:val="36A9265A"/>
    <w:rsid w:val="36B121C7"/>
    <w:rsid w:val="36B2486C"/>
    <w:rsid w:val="36B311F8"/>
    <w:rsid w:val="36B83789"/>
    <w:rsid w:val="36BA14F4"/>
    <w:rsid w:val="36BB0165"/>
    <w:rsid w:val="36C96276"/>
    <w:rsid w:val="36CB1F36"/>
    <w:rsid w:val="36CB727F"/>
    <w:rsid w:val="36D009E5"/>
    <w:rsid w:val="36D048DF"/>
    <w:rsid w:val="36D27C18"/>
    <w:rsid w:val="36D512A9"/>
    <w:rsid w:val="36D934D3"/>
    <w:rsid w:val="36D94280"/>
    <w:rsid w:val="36DE2053"/>
    <w:rsid w:val="36DE52AD"/>
    <w:rsid w:val="36E07ED3"/>
    <w:rsid w:val="36E176E1"/>
    <w:rsid w:val="36E617F6"/>
    <w:rsid w:val="36F414F3"/>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14997"/>
    <w:rsid w:val="37446333"/>
    <w:rsid w:val="37446A77"/>
    <w:rsid w:val="374625F2"/>
    <w:rsid w:val="374D0B20"/>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CE1934"/>
    <w:rsid w:val="37D644F2"/>
    <w:rsid w:val="37E22653"/>
    <w:rsid w:val="37EA35C1"/>
    <w:rsid w:val="37ED5E3A"/>
    <w:rsid w:val="37EF1B98"/>
    <w:rsid w:val="37F311D3"/>
    <w:rsid w:val="37F7242F"/>
    <w:rsid w:val="37FD1EC6"/>
    <w:rsid w:val="37FD5291"/>
    <w:rsid w:val="380579FE"/>
    <w:rsid w:val="38081AE1"/>
    <w:rsid w:val="380A2EB4"/>
    <w:rsid w:val="38130428"/>
    <w:rsid w:val="38157509"/>
    <w:rsid w:val="38184E57"/>
    <w:rsid w:val="381D5340"/>
    <w:rsid w:val="38206B28"/>
    <w:rsid w:val="382150C9"/>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C04AE"/>
    <w:rsid w:val="385F47DB"/>
    <w:rsid w:val="38693A96"/>
    <w:rsid w:val="386A1921"/>
    <w:rsid w:val="386B38FB"/>
    <w:rsid w:val="38775820"/>
    <w:rsid w:val="38776B01"/>
    <w:rsid w:val="387F0A30"/>
    <w:rsid w:val="38876F05"/>
    <w:rsid w:val="38894DA5"/>
    <w:rsid w:val="388B0B3C"/>
    <w:rsid w:val="388B3DD3"/>
    <w:rsid w:val="389121D9"/>
    <w:rsid w:val="38913DAB"/>
    <w:rsid w:val="389508EA"/>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61DC9"/>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1605FE"/>
    <w:rsid w:val="392B6A4C"/>
    <w:rsid w:val="39344929"/>
    <w:rsid w:val="393544DD"/>
    <w:rsid w:val="393962EC"/>
    <w:rsid w:val="393F404D"/>
    <w:rsid w:val="393F6CD7"/>
    <w:rsid w:val="39457868"/>
    <w:rsid w:val="394935B8"/>
    <w:rsid w:val="394A0CA3"/>
    <w:rsid w:val="394B1E03"/>
    <w:rsid w:val="394C557A"/>
    <w:rsid w:val="394C5B0A"/>
    <w:rsid w:val="3952190F"/>
    <w:rsid w:val="395753F2"/>
    <w:rsid w:val="39576452"/>
    <w:rsid w:val="395811AF"/>
    <w:rsid w:val="39676A41"/>
    <w:rsid w:val="39686D44"/>
    <w:rsid w:val="39695DEF"/>
    <w:rsid w:val="396B20E0"/>
    <w:rsid w:val="396C2C84"/>
    <w:rsid w:val="397E700C"/>
    <w:rsid w:val="39834074"/>
    <w:rsid w:val="39885108"/>
    <w:rsid w:val="39907940"/>
    <w:rsid w:val="399135AA"/>
    <w:rsid w:val="39946149"/>
    <w:rsid w:val="399602F5"/>
    <w:rsid w:val="399B5B0D"/>
    <w:rsid w:val="399B7548"/>
    <w:rsid w:val="39A05979"/>
    <w:rsid w:val="39A338FB"/>
    <w:rsid w:val="39A354D2"/>
    <w:rsid w:val="39A961F7"/>
    <w:rsid w:val="39AB2E70"/>
    <w:rsid w:val="39B03420"/>
    <w:rsid w:val="39B421EA"/>
    <w:rsid w:val="39BB78F7"/>
    <w:rsid w:val="39BC428E"/>
    <w:rsid w:val="39BD72D0"/>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94057"/>
    <w:rsid w:val="39FD2FB3"/>
    <w:rsid w:val="3A026596"/>
    <w:rsid w:val="3A035AE1"/>
    <w:rsid w:val="3A082ABE"/>
    <w:rsid w:val="3A082F8E"/>
    <w:rsid w:val="3A0E7426"/>
    <w:rsid w:val="3A0E766B"/>
    <w:rsid w:val="3A181AC2"/>
    <w:rsid w:val="3A1A155D"/>
    <w:rsid w:val="3A1F4C2A"/>
    <w:rsid w:val="3A237175"/>
    <w:rsid w:val="3A370E54"/>
    <w:rsid w:val="3A443D4B"/>
    <w:rsid w:val="3A487EB6"/>
    <w:rsid w:val="3A4D381F"/>
    <w:rsid w:val="3A616CAD"/>
    <w:rsid w:val="3A622D25"/>
    <w:rsid w:val="3A6665B5"/>
    <w:rsid w:val="3A6C4F22"/>
    <w:rsid w:val="3A711C68"/>
    <w:rsid w:val="3A712AFA"/>
    <w:rsid w:val="3A735AEF"/>
    <w:rsid w:val="3A7660BF"/>
    <w:rsid w:val="3A7927E8"/>
    <w:rsid w:val="3A796E46"/>
    <w:rsid w:val="3A7B313B"/>
    <w:rsid w:val="3A7C57BF"/>
    <w:rsid w:val="3A80504B"/>
    <w:rsid w:val="3A820A04"/>
    <w:rsid w:val="3A8A40BC"/>
    <w:rsid w:val="3A8B3C77"/>
    <w:rsid w:val="3A971F5B"/>
    <w:rsid w:val="3A9A224E"/>
    <w:rsid w:val="3A9C1F8C"/>
    <w:rsid w:val="3A9D2551"/>
    <w:rsid w:val="3A9D5397"/>
    <w:rsid w:val="3AA15A8E"/>
    <w:rsid w:val="3AA55B88"/>
    <w:rsid w:val="3AA90278"/>
    <w:rsid w:val="3AA97F70"/>
    <w:rsid w:val="3AAC2418"/>
    <w:rsid w:val="3AAC45FD"/>
    <w:rsid w:val="3AAE1003"/>
    <w:rsid w:val="3AB24A7A"/>
    <w:rsid w:val="3AB26A14"/>
    <w:rsid w:val="3AB454DC"/>
    <w:rsid w:val="3AB668CC"/>
    <w:rsid w:val="3AB94248"/>
    <w:rsid w:val="3ABD7742"/>
    <w:rsid w:val="3ABE76C3"/>
    <w:rsid w:val="3ABF42F5"/>
    <w:rsid w:val="3ACE210D"/>
    <w:rsid w:val="3ACE7D16"/>
    <w:rsid w:val="3AD73D23"/>
    <w:rsid w:val="3ADD6EBA"/>
    <w:rsid w:val="3ADF79DB"/>
    <w:rsid w:val="3AF2661D"/>
    <w:rsid w:val="3AF932C9"/>
    <w:rsid w:val="3AFB45E1"/>
    <w:rsid w:val="3AFD37D0"/>
    <w:rsid w:val="3B016EE9"/>
    <w:rsid w:val="3B025A42"/>
    <w:rsid w:val="3B075C4E"/>
    <w:rsid w:val="3B0C7A7D"/>
    <w:rsid w:val="3B0D67FF"/>
    <w:rsid w:val="3B0E6B93"/>
    <w:rsid w:val="3B130528"/>
    <w:rsid w:val="3B131E3C"/>
    <w:rsid w:val="3B133841"/>
    <w:rsid w:val="3B1703B9"/>
    <w:rsid w:val="3B192DC6"/>
    <w:rsid w:val="3B1A12BB"/>
    <w:rsid w:val="3B1B0093"/>
    <w:rsid w:val="3B213BB3"/>
    <w:rsid w:val="3B2356A8"/>
    <w:rsid w:val="3B2D161A"/>
    <w:rsid w:val="3B2D446C"/>
    <w:rsid w:val="3B3A132E"/>
    <w:rsid w:val="3B431421"/>
    <w:rsid w:val="3B456D7F"/>
    <w:rsid w:val="3B4A608D"/>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97618"/>
    <w:rsid w:val="3BAB4422"/>
    <w:rsid w:val="3BB47D9F"/>
    <w:rsid w:val="3BC20834"/>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72D21"/>
    <w:rsid w:val="3C294498"/>
    <w:rsid w:val="3C2D5003"/>
    <w:rsid w:val="3C2D7E98"/>
    <w:rsid w:val="3C333216"/>
    <w:rsid w:val="3C3363CB"/>
    <w:rsid w:val="3C36018F"/>
    <w:rsid w:val="3C396978"/>
    <w:rsid w:val="3C3B0B4B"/>
    <w:rsid w:val="3C3D016E"/>
    <w:rsid w:val="3C413591"/>
    <w:rsid w:val="3C4864AA"/>
    <w:rsid w:val="3C49796D"/>
    <w:rsid w:val="3C4F7D80"/>
    <w:rsid w:val="3C592BBE"/>
    <w:rsid w:val="3C5F37D6"/>
    <w:rsid w:val="3C64689F"/>
    <w:rsid w:val="3C6C1240"/>
    <w:rsid w:val="3C6E7D4D"/>
    <w:rsid w:val="3C70531F"/>
    <w:rsid w:val="3C740DAA"/>
    <w:rsid w:val="3C750E34"/>
    <w:rsid w:val="3C7E65EC"/>
    <w:rsid w:val="3C812838"/>
    <w:rsid w:val="3C8555A2"/>
    <w:rsid w:val="3C860159"/>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D6D85"/>
    <w:rsid w:val="3CBF7818"/>
    <w:rsid w:val="3CC26B63"/>
    <w:rsid w:val="3CCC4D4D"/>
    <w:rsid w:val="3CD346EB"/>
    <w:rsid w:val="3CD71E34"/>
    <w:rsid w:val="3CD81D42"/>
    <w:rsid w:val="3CD92802"/>
    <w:rsid w:val="3CD929E3"/>
    <w:rsid w:val="3CD93A3D"/>
    <w:rsid w:val="3CDA643F"/>
    <w:rsid w:val="3CDB08EE"/>
    <w:rsid w:val="3CDB5D82"/>
    <w:rsid w:val="3CDD31C3"/>
    <w:rsid w:val="3CDE01C6"/>
    <w:rsid w:val="3CDE394C"/>
    <w:rsid w:val="3CE27539"/>
    <w:rsid w:val="3CE54B9F"/>
    <w:rsid w:val="3CE86761"/>
    <w:rsid w:val="3CEC0637"/>
    <w:rsid w:val="3CF619DB"/>
    <w:rsid w:val="3CF64A73"/>
    <w:rsid w:val="3CF86E9C"/>
    <w:rsid w:val="3CFD37E7"/>
    <w:rsid w:val="3CFE44BF"/>
    <w:rsid w:val="3D0148C9"/>
    <w:rsid w:val="3D035272"/>
    <w:rsid w:val="3D0B7E6F"/>
    <w:rsid w:val="3D0F1231"/>
    <w:rsid w:val="3D154680"/>
    <w:rsid w:val="3D184661"/>
    <w:rsid w:val="3D1B6D64"/>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315E2"/>
    <w:rsid w:val="3D641D7A"/>
    <w:rsid w:val="3D6610AF"/>
    <w:rsid w:val="3D6A321D"/>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74832"/>
    <w:rsid w:val="3DCD6921"/>
    <w:rsid w:val="3DD67156"/>
    <w:rsid w:val="3DD745F2"/>
    <w:rsid w:val="3DE2144F"/>
    <w:rsid w:val="3DE37514"/>
    <w:rsid w:val="3DE548AC"/>
    <w:rsid w:val="3DE653F8"/>
    <w:rsid w:val="3DE72673"/>
    <w:rsid w:val="3DEB1255"/>
    <w:rsid w:val="3DEB70FB"/>
    <w:rsid w:val="3DEE1FBE"/>
    <w:rsid w:val="3DF85D57"/>
    <w:rsid w:val="3E0003F0"/>
    <w:rsid w:val="3E020DC5"/>
    <w:rsid w:val="3E0406D9"/>
    <w:rsid w:val="3E0448CB"/>
    <w:rsid w:val="3E073B6A"/>
    <w:rsid w:val="3E076FA8"/>
    <w:rsid w:val="3E0918A5"/>
    <w:rsid w:val="3E0F25EA"/>
    <w:rsid w:val="3E0F3200"/>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B045E"/>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7298D"/>
    <w:rsid w:val="3EFB57DC"/>
    <w:rsid w:val="3F0572F1"/>
    <w:rsid w:val="3F0B4D27"/>
    <w:rsid w:val="3F105EED"/>
    <w:rsid w:val="3F125CC3"/>
    <w:rsid w:val="3F13787B"/>
    <w:rsid w:val="3F144192"/>
    <w:rsid w:val="3F183D6F"/>
    <w:rsid w:val="3F1871AF"/>
    <w:rsid w:val="3F217DDA"/>
    <w:rsid w:val="3F22263B"/>
    <w:rsid w:val="3F2536CF"/>
    <w:rsid w:val="3F2771DB"/>
    <w:rsid w:val="3F2A3A7B"/>
    <w:rsid w:val="3F2B184D"/>
    <w:rsid w:val="3F2C7646"/>
    <w:rsid w:val="3F3969F6"/>
    <w:rsid w:val="3F421D47"/>
    <w:rsid w:val="3F441B08"/>
    <w:rsid w:val="3F4A4087"/>
    <w:rsid w:val="3F5361F5"/>
    <w:rsid w:val="3F5A13F9"/>
    <w:rsid w:val="3F6B3632"/>
    <w:rsid w:val="3F6B5FBE"/>
    <w:rsid w:val="3F6D6723"/>
    <w:rsid w:val="3F761F16"/>
    <w:rsid w:val="3F776E0A"/>
    <w:rsid w:val="3F8A2CC8"/>
    <w:rsid w:val="3F92312B"/>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73CFF"/>
    <w:rsid w:val="3FD9316A"/>
    <w:rsid w:val="3FE00558"/>
    <w:rsid w:val="3FE210C1"/>
    <w:rsid w:val="3FEB1C22"/>
    <w:rsid w:val="3FEE2117"/>
    <w:rsid w:val="3FFA58A6"/>
    <w:rsid w:val="3FFA5C63"/>
    <w:rsid w:val="3FFB7D82"/>
    <w:rsid w:val="40073561"/>
    <w:rsid w:val="400A0FB3"/>
    <w:rsid w:val="400A1CFC"/>
    <w:rsid w:val="40101939"/>
    <w:rsid w:val="40146267"/>
    <w:rsid w:val="4015639E"/>
    <w:rsid w:val="401613D4"/>
    <w:rsid w:val="401D1E88"/>
    <w:rsid w:val="401D6DEE"/>
    <w:rsid w:val="40287151"/>
    <w:rsid w:val="402D78BE"/>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B5ADC"/>
    <w:rsid w:val="408E6CCE"/>
    <w:rsid w:val="40907287"/>
    <w:rsid w:val="409238F2"/>
    <w:rsid w:val="40953EC0"/>
    <w:rsid w:val="4097033D"/>
    <w:rsid w:val="409F29A5"/>
    <w:rsid w:val="40A23BF1"/>
    <w:rsid w:val="40A8059B"/>
    <w:rsid w:val="40AB3054"/>
    <w:rsid w:val="40AF2B72"/>
    <w:rsid w:val="40B400A9"/>
    <w:rsid w:val="40BA51BF"/>
    <w:rsid w:val="40BD153A"/>
    <w:rsid w:val="40C3250A"/>
    <w:rsid w:val="40C63245"/>
    <w:rsid w:val="40CD7BD8"/>
    <w:rsid w:val="40CE24AF"/>
    <w:rsid w:val="40D07371"/>
    <w:rsid w:val="40D077F5"/>
    <w:rsid w:val="40D3112C"/>
    <w:rsid w:val="40D37E6E"/>
    <w:rsid w:val="40D72999"/>
    <w:rsid w:val="40DF3ABC"/>
    <w:rsid w:val="40E17E23"/>
    <w:rsid w:val="40E75AF0"/>
    <w:rsid w:val="40E87142"/>
    <w:rsid w:val="40F00A85"/>
    <w:rsid w:val="40F1013C"/>
    <w:rsid w:val="40F35427"/>
    <w:rsid w:val="40FE1447"/>
    <w:rsid w:val="41016405"/>
    <w:rsid w:val="41053DED"/>
    <w:rsid w:val="41074302"/>
    <w:rsid w:val="411E54A2"/>
    <w:rsid w:val="411E6D48"/>
    <w:rsid w:val="412506DF"/>
    <w:rsid w:val="412912FD"/>
    <w:rsid w:val="41306144"/>
    <w:rsid w:val="41342394"/>
    <w:rsid w:val="413B1BAB"/>
    <w:rsid w:val="413E1291"/>
    <w:rsid w:val="41434504"/>
    <w:rsid w:val="414471A8"/>
    <w:rsid w:val="4149456B"/>
    <w:rsid w:val="414F41D7"/>
    <w:rsid w:val="414F7876"/>
    <w:rsid w:val="41515CEC"/>
    <w:rsid w:val="415413D2"/>
    <w:rsid w:val="415A0FEF"/>
    <w:rsid w:val="415A7D09"/>
    <w:rsid w:val="415E41E8"/>
    <w:rsid w:val="416279BA"/>
    <w:rsid w:val="41653B51"/>
    <w:rsid w:val="416C15E7"/>
    <w:rsid w:val="416E039C"/>
    <w:rsid w:val="416E1B43"/>
    <w:rsid w:val="417727AB"/>
    <w:rsid w:val="417F7393"/>
    <w:rsid w:val="41800377"/>
    <w:rsid w:val="41804025"/>
    <w:rsid w:val="41860D45"/>
    <w:rsid w:val="418B26ED"/>
    <w:rsid w:val="419243AA"/>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37EFF"/>
    <w:rsid w:val="41D57639"/>
    <w:rsid w:val="41DC5EDF"/>
    <w:rsid w:val="41DD05DE"/>
    <w:rsid w:val="41E4117E"/>
    <w:rsid w:val="41F04C42"/>
    <w:rsid w:val="41F07014"/>
    <w:rsid w:val="41F24303"/>
    <w:rsid w:val="41F52080"/>
    <w:rsid w:val="41F63B51"/>
    <w:rsid w:val="41F94D40"/>
    <w:rsid w:val="42001B5D"/>
    <w:rsid w:val="420850A2"/>
    <w:rsid w:val="4219792E"/>
    <w:rsid w:val="421B1059"/>
    <w:rsid w:val="422370F9"/>
    <w:rsid w:val="4227340C"/>
    <w:rsid w:val="42294221"/>
    <w:rsid w:val="422C32BD"/>
    <w:rsid w:val="422E207E"/>
    <w:rsid w:val="423038F8"/>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67EB0"/>
    <w:rsid w:val="427C0175"/>
    <w:rsid w:val="428152E3"/>
    <w:rsid w:val="42831021"/>
    <w:rsid w:val="42863926"/>
    <w:rsid w:val="4287026E"/>
    <w:rsid w:val="42873CB7"/>
    <w:rsid w:val="428C3B94"/>
    <w:rsid w:val="429110B8"/>
    <w:rsid w:val="4295760D"/>
    <w:rsid w:val="42981359"/>
    <w:rsid w:val="429A29B1"/>
    <w:rsid w:val="429A4C84"/>
    <w:rsid w:val="429C1606"/>
    <w:rsid w:val="429C5BC6"/>
    <w:rsid w:val="42A715F1"/>
    <w:rsid w:val="42A87389"/>
    <w:rsid w:val="42B63D6B"/>
    <w:rsid w:val="42C42B90"/>
    <w:rsid w:val="42C51B43"/>
    <w:rsid w:val="42C5796D"/>
    <w:rsid w:val="42D67001"/>
    <w:rsid w:val="42E06A10"/>
    <w:rsid w:val="42F875D5"/>
    <w:rsid w:val="42FB286D"/>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67FEA"/>
    <w:rsid w:val="434A7A24"/>
    <w:rsid w:val="434F72D6"/>
    <w:rsid w:val="4359470C"/>
    <w:rsid w:val="435B1C66"/>
    <w:rsid w:val="43605DCC"/>
    <w:rsid w:val="43614CEE"/>
    <w:rsid w:val="43621947"/>
    <w:rsid w:val="4363090C"/>
    <w:rsid w:val="43664819"/>
    <w:rsid w:val="43683D68"/>
    <w:rsid w:val="436A0582"/>
    <w:rsid w:val="436A2192"/>
    <w:rsid w:val="436C40C2"/>
    <w:rsid w:val="43794BFF"/>
    <w:rsid w:val="437B5B9F"/>
    <w:rsid w:val="438B6310"/>
    <w:rsid w:val="439322F0"/>
    <w:rsid w:val="43964600"/>
    <w:rsid w:val="4397231A"/>
    <w:rsid w:val="439C3431"/>
    <w:rsid w:val="439D0E7C"/>
    <w:rsid w:val="43A12E00"/>
    <w:rsid w:val="43A251CC"/>
    <w:rsid w:val="43A26A83"/>
    <w:rsid w:val="43A41643"/>
    <w:rsid w:val="43AC2E56"/>
    <w:rsid w:val="43AD2697"/>
    <w:rsid w:val="43B93427"/>
    <w:rsid w:val="43BC47D9"/>
    <w:rsid w:val="43BC7CB7"/>
    <w:rsid w:val="43C0281C"/>
    <w:rsid w:val="43C02B26"/>
    <w:rsid w:val="43CB4B08"/>
    <w:rsid w:val="43CF16E6"/>
    <w:rsid w:val="43D10A40"/>
    <w:rsid w:val="43D67A91"/>
    <w:rsid w:val="43E21F58"/>
    <w:rsid w:val="43E35EF0"/>
    <w:rsid w:val="43F12898"/>
    <w:rsid w:val="43F660CD"/>
    <w:rsid w:val="43F76F69"/>
    <w:rsid w:val="43F90FED"/>
    <w:rsid w:val="43F9331D"/>
    <w:rsid w:val="43FC0DB2"/>
    <w:rsid w:val="4403367E"/>
    <w:rsid w:val="44095B4D"/>
    <w:rsid w:val="440C5D56"/>
    <w:rsid w:val="4410109D"/>
    <w:rsid w:val="44153F0C"/>
    <w:rsid w:val="44174583"/>
    <w:rsid w:val="441A5200"/>
    <w:rsid w:val="441A68C5"/>
    <w:rsid w:val="44211E7E"/>
    <w:rsid w:val="4425456D"/>
    <w:rsid w:val="44280671"/>
    <w:rsid w:val="44281903"/>
    <w:rsid w:val="44336EAB"/>
    <w:rsid w:val="44393BD3"/>
    <w:rsid w:val="444109FB"/>
    <w:rsid w:val="444E22EA"/>
    <w:rsid w:val="44584267"/>
    <w:rsid w:val="4459234A"/>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539E5"/>
    <w:rsid w:val="44961F5B"/>
    <w:rsid w:val="44964116"/>
    <w:rsid w:val="44986FF0"/>
    <w:rsid w:val="449A7C8F"/>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45BE9"/>
    <w:rsid w:val="44C87C0F"/>
    <w:rsid w:val="44D31B1E"/>
    <w:rsid w:val="44D413E6"/>
    <w:rsid w:val="44DA4E4C"/>
    <w:rsid w:val="44DF6F1B"/>
    <w:rsid w:val="44E54BDC"/>
    <w:rsid w:val="44E92DF3"/>
    <w:rsid w:val="44EE42CA"/>
    <w:rsid w:val="44F82D0E"/>
    <w:rsid w:val="450017D0"/>
    <w:rsid w:val="45026DCD"/>
    <w:rsid w:val="45042357"/>
    <w:rsid w:val="450F23D9"/>
    <w:rsid w:val="45120EBF"/>
    <w:rsid w:val="4518779B"/>
    <w:rsid w:val="451C5E9C"/>
    <w:rsid w:val="45215836"/>
    <w:rsid w:val="452319DF"/>
    <w:rsid w:val="452565FE"/>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36FF"/>
    <w:rsid w:val="45790DCE"/>
    <w:rsid w:val="457E31A2"/>
    <w:rsid w:val="457F7F93"/>
    <w:rsid w:val="458B757C"/>
    <w:rsid w:val="458D679F"/>
    <w:rsid w:val="459026D9"/>
    <w:rsid w:val="45917B8A"/>
    <w:rsid w:val="45977D3C"/>
    <w:rsid w:val="459B634C"/>
    <w:rsid w:val="459B6FB3"/>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5F70C9B"/>
    <w:rsid w:val="460D3781"/>
    <w:rsid w:val="460E064D"/>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71651F"/>
    <w:rsid w:val="46787358"/>
    <w:rsid w:val="467929D1"/>
    <w:rsid w:val="4679494F"/>
    <w:rsid w:val="467A6815"/>
    <w:rsid w:val="467D3197"/>
    <w:rsid w:val="467E60D6"/>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624EA"/>
    <w:rsid w:val="46FC2FE8"/>
    <w:rsid w:val="47033281"/>
    <w:rsid w:val="47065799"/>
    <w:rsid w:val="47073BE8"/>
    <w:rsid w:val="470872CF"/>
    <w:rsid w:val="470D53CA"/>
    <w:rsid w:val="471563E1"/>
    <w:rsid w:val="47167C67"/>
    <w:rsid w:val="4718795C"/>
    <w:rsid w:val="471E4846"/>
    <w:rsid w:val="47203A4E"/>
    <w:rsid w:val="47333B1B"/>
    <w:rsid w:val="47351654"/>
    <w:rsid w:val="473D0BD8"/>
    <w:rsid w:val="474123E2"/>
    <w:rsid w:val="4745331C"/>
    <w:rsid w:val="47457188"/>
    <w:rsid w:val="474C12BA"/>
    <w:rsid w:val="4754160F"/>
    <w:rsid w:val="475A1BC9"/>
    <w:rsid w:val="47644CFB"/>
    <w:rsid w:val="47666951"/>
    <w:rsid w:val="47683159"/>
    <w:rsid w:val="476A3507"/>
    <w:rsid w:val="476A7D07"/>
    <w:rsid w:val="47717DF2"/>
    <w:rsid w:val="47776A1B"/>
    <w:rsid w:val="478E4501"/>
    <w:rsid w:val="47943B3F"/>
    <w:rsid w:val="479766B4"/>
    <w:rsid w:val="479A472B"/>
    <w:rsid w:val="479D7800"/>
    <w:rsid w:val="47A240A4"/>
    <w:rsid w:val="47A554A0"/>
    <w:rsid w:val="47AA013A"/>
    <w:rsid w:val="47AA1593"/>
    <w:rsid w:val="47AB2AB0"/>
    <w:rsid w:val="47B44BED"/>
    <w:rsid w:val="47BC3466"/>
    <w:rsid w:val="47C31B3F"/>
    <w:rsid w:val="47C758AF"/>
    <w:rsid w:val="47C80751"/>
    <w:rsid w:val="47D730B6"/>
    <w:rsid w:val="47DD2DD0"/>
    <w:rsid w:val="47DD6A91"/>
    <w:rsid w:val="47E62C82"/>
    <w:rsid w:val="47E75C6A"/>
    <w:rsid w:val="47EB0853"/>
    <w:rsid w:val="47EB5BFA"/>
    <w:rsid w:val="47F04DE3"/>
    <w:rsid w:val="47F262C7"/>
    <w:rsid w:val="47FA20F9"/>
    <w:rsid w:val="47FA72E8"/>
    <w:rsid w:val="47FF3A74"/>
    <w:rsid w:val="48043D58"/>
    <w:rsid w:val="480B7A59"/>
    <w:rsid w:val="48111DC2"/>
    <w:rsid w:val="48156BFB"/>
    <w:rsid w:val="48180EA8"/>
    <w:rsid w:val="482B39B5"/>
    <w:rsid w:val="482D350F"/>
    <w:rsid w:val="483537A4"/>
    <w:rsid w:val="483C2A8C"/>
    <w:rsid w:val="48424FA1"/>
    <w:rsid w:val="484647AE"/>
    <w:rsid w:val="484F1901"/>
    <w:rsid w:val="48594C05"/>
    <w:rsid w:val="485D5413"/>
    <w:rsid w:val="485D58DA"/>
    <w:rsid w:val="4864535D"/>
    <w:rsid w:val="48740F16"/>
    <w:rsid w:val="48747A97"/>
    <w:rsid w:val="487A2A25"/>
    <w:rsid w:val="487C0397"/>
    <w:rsid w:val="4880009A"/>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85E26"/>
    <w:rsid w:val="48CB0DA2"/>
    <w:rsid w:val="48DC218B"/>
    <w:rsid w:val="48ED55C7"/>
    <w:rsid w:val="48F069AF"/>
    <w:rsid w:val="48F447F8"/>
    <w:rsid w:val="48FF370E"/>
    <w:rsid w:val="49046287"/>
    <w:rsid w:val="490720D1"/>
    <w:rsid w:val="49075A63"/>
    <w:rsid w:val="490933FA"/>
    <w:rsid w:val="490A4D2F"/>
    <w:rsid w:val="490A64AF"/>
    <w:rsid w:val="490D09B8"/>
    <w:rsid w:val="49117419"/>
    <w:rsid w:val="491709CE"/>
    <w:rsid w:val="491E0647"/>
    <w:rsid w:val="49224F55"/>
    <w:rsid w:val="49235273"/>
    <w:rsid w:val="49241D45"/>
    <w:rsid w:val="4929748F"/>
    <w:rsid w:val="492A4068"/>
    <w:rsid w:val="492D2FA9"/>
    <w:rsid w:val="492D60DA"/>
    <w:rsid w:val="492E2E42"/>
    <w:rsid w:val="492F1F4E"/>
    <w:rsid w:val="49347EAF"/>
    <w:rsid w:val="4935171C"/>
    <w:rsid w:val="49366254"/>
    <w:rsid w:val="493717AB"/>
    <w:rsid w:val="493A0176"/>
    <w:rsid w:val="493A31B1"/>
    <w:rsid w:val="493D4A0B"/>
    <w:rsid w:val="49402C30"/>
    <w:rsid w:val="49432B91"/>
    <w:rsid w:val="494502AA"/>
    <w:rsid w:val="4949147F"/>
    <w:rsid w:val="494B184A"/>
    <w:rsid w:val="49535C21"/>
    <w:rsid w:val="49594129"/>
    <w:rsid w:val="495B528B"/>
    <w:rsid w:val="495C3370"/>
    <w:rsid w:val="496409A2"/>
    <w:rsid w:val="496926EA"/>
    <w:rsid w:val="49707759"/>
    <w:rsid w:val="49715E0F"/>
    <w:rsid w:val="497C305C"/>
    <w:rsid w:val="497E09E9"/>
    <w:rsid w:val="497F5591"/>
    <w:rsid w:val="49822E2F"/>
    <w:rsid w:val="49890969"/>
    <w:rsid w:val="498A763F"/>
    <w:rsid w:val="498F38E6"/>
    <w:rsid w:val="49927DFC"/>
    <w:rsid w:val="499322C4"/>
    <w:rsid w:val="49954FFA"/>
    <w:rsid w:val="4995554E"/>
    <w:rsid w:val="4997392A"/>
    <w:rsid w:val="49983B96"/>
    <w:rsid w:val="49986BC3"/>
    <w:rsid w:val="499B15EA"/>
    <w:rsid w:val="499B3646"/>
    <w:rsid w:val="499C3504"/>
    <w:rsid w:val="499C3A4F"/>
    <w:rsid w:val="49A34DF1"/>
    <w:rsid w:val="49A43EE6"/>
    <w:rsid w:val="49A46AD6"/>
    <w:rsid w:val="49AB3DB8"/>
    <w:rsid w:val="49AF72E0"/>
    <w:rsid w:val="49B3776E"/>
    <w:rsid w:val="49B40297"/>
    <w:rsid w:val="49B4201A"/>
    <w:rsid w:val="49BA6924"/>
    <w:rsid w:val="49BC3E5F"/>
    <w:rsid w:val="49C20C6C"/>
    <w:rsid w:val="49C276CE"/>
    <w:rsid w:val="49C455F7"/>
    <w:rsid w:val="49C97BFF"/>
    <w:rsid w:val="49CE0C89"/>
    <w:rsid w:val="49D1454B"/>
    <w:rsid w:val="49D93C20"/>
    <w:rsid w:val="49DA3FD3"/>
    <w:rsid w:val="49DA7AB7"/>
    <w:rsid w:val="49E028D9"/>
    <w:rsid w:val="49E46DD1"/>
    <w:rsid w:val="49EC4800"/>
    <w:rsid w:val="49ED271F"/>
    <w:rsid w:val="4A0573EC"/>
    <w:rsid w:val="4A06116C"/>
    <w:rsid w:val="4A070E8E"/>
    <w:rsid w:val="4A09004C"/>
    <w:rsid w:val="4A09499E"/>
    <w:rsid w:val="4A113DD8"/>
    <w:rsid w:val="4A1A3FD0"/>
    <w:rsid w:val="4A2E7749"/>
    <w:rsid w:val="4A381BA6"/>
    <w:rsid w:val="4A3926E2"/>
    <w:rsid w:val="4A3A1775"/>
    <w:rsid w:val="4A3C2D89"/>
    <w:rsid w:val="4A4172CE"/>
    <w:rsid w:val="4A43236C"/>
    <w:rsid w:val="4A4A176A"/>
    <w:rsid w:val="4A4B03F9"/>
    <w:rsid w:val="4A4D3550"/>
    <w:rsid w:val="4A534826"/>
    <w:rsid w:val="4A5370A6"/>
    <w:rsid w:val="4A5B73DA"/>
    <w:rsid w:val="4A5C4447"/>
    <w:rsid w:val="4A5C6983"/>
    <w:rsid w:val="4A5D29A9"/>
    <w:rsid w:val="4A65667A"/>
    <w:rsid w:val="4A6C0FC7"/>
    <w:rsid w:val="4A6D7FF3"/>
    <w:rsid w:val="4A703CDE"/>
    <w:rsid w:val="4A732739"/>
    <w:rsid w:val="4A7413BF"/>
    <w:rsid w:val="4A7D09F3"/>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5222D"/>
    <w:rsid w:val="4ABB3CDE"/>
    <w:rsid w:val="4ABC1D18"/>
    <w:rsid w:val="4ABC5BD1"/>
    <w:rsid w:val="4AC4256B"/>
    <w:rsid w:val="4AC860DD"/>
    <w:rsid w:val="4ACA7CD3"/>
    <w:rsid w:val="4AD162A8"/>
    <w:rsid w:val="4AD25C89"/>
    <w:rsid w:val="4AD3758B"/>
    <w:rsid w:val="4AD768C6"/>
    <w:rsid w:val="4AE0796F"/>
    <w:rsid w:val="4AE30444"/>
    <w:rsid w:val="4AEE30D9"/>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A63E7"/>
    <w:rsid w:val="4B8D1001"/>
    <w:rsid w:val="4B901807"/>
    <w:rsid w:val="4B9B25E4"/>
    <w:rsid w:val="4B9D5A5B"/>
    <w:rsid w:val="4B9E314D"/>
    <w:rsid w:val="4BA51A64"/>
    <w:rsid w:val="4BAD4CA2"/>
    <w:rsid w:val="4BC456EF"/>
    <w:rsid w:val="4BC647B0"/>
    <w:rsid w:val="4BC92685"/>
    <w:rsid w:val="4BCA56CA"/>
    <w:rsid w:val="4BCB1BAE"/>
    <w:rsid w:val="4BD87F23"/>
    <w:rsid w:val="4BD94F2A"/>
    <w:rsid w:val="4BDF4B49"/>
    <w:rsid w:val="4BE57E16"/>
    <w:rsid w:val="4BE819D0"/>
    <w:rsid w:val="4BE8649D"/>
    <w:rsid w:val="4BFB7661"/>
    <w:rsid w:val="4C001A53"/>
    <w:rsid w:val="4C0236B4"/>
    <w:rsid w:val="4C085C5E"/>
    <w:rsid w:val="4C09393E"/>
    <w:rsid w:val="4C0B3AD4"/>
    <w:rsid w:val="4C0C091F"/>
    <w:rsid w:val="4C1419F4"/>
    <w:rsid w:val="4C170C9D"/>
    <w:rsid w:val="4C192F75"/>
    <w:rsid w:val="4C1C0BD6"/>
    <w:rsid w:val="4C1E085C"/>
    <w:rsid w:val="4C1E7AAC"/>
    <w:rsid w:val="4C20259F"/>
    <w:rsid w:val="4C22427E"/>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7C472B"/>
    <w:rsid w:val="4C860543"/>
    <w:rsid w:val="4C863F61"/>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76667"/>
    <w:rsid w:val="4D2A2C09"/>
    <w:rsid w:val="4D2F5C2A"/>
    <w:rsid w:val="4D310377"/>
    <w:rsid w:val="4D33448A"/>
    <w:rsid w:val="4D3F4840"/>
    <w:rsid w:val="4D410392"/>
    <w:rsid w:val="4D4176CF"/>
    <w:rsid w:val="4D422D07"/>
    <w:rsid w:val="4D427BBD"/>
    <w:rsid w:val="4D432D05"/>
    <w:rsid w:val="4D4358CB"/>
    <w:rsid w:val="4D5202B3"/>
    <w:rsid w:val="4D570519"/>
    <w:rsid w:val="4D5A2B9C"/>
    <w:rsid w:val="4D5C5732"/>
    <w:rsid w:val="4D656800"/>
    <w:rsid w:val="4D696627"/>
    <w:rsid w:val="4D6B0DDC"/>
    <w:rsid w:val="4D6C4B60"/>
    <w:rsid w:val="4D6C76E5"/>
    <w:rsid w:val="4D6E1444"/>
    <w:rsid w:val="4D705706"/>
    <w:rsid w:val="4D7220A0"/>
    <w:rsid w:val="4D74283C"/>
    <w:rsid w:val="4D76173E"/>
    <w:rsid w:val="4D790A51"/>
    <w:rsid w:val="4D851CC9"/>
    <w:rsid w:val="4D8A58C0"/>
    <w:rsid w:val="4D8D11C1"/>
    <w:rsid w:val="4D922BF5"/>
    <w:rsid w:val="4D9231B7"/>
    <w:rsid w:val="4D9B5A29"/>
    <w:rsid w:val="4DA03A7F"/>
    <w:rsid w:val="4DA1242D"/>
    <w:rsid w:val="4DA53BC8"/>
    <w:rsid w:val="4DB36ED1"/>
    <w:rsid w:val="4DB41824"/>
    <w:rsid w:val="4DB95A69"/>
    <w:rsid w:val="4DBD1F3A"/>
    <w:rsid w:val="4DBD526D"/>
    <w:rsid w:val="4DC31B92"/>
    <w:rsid w:val="4DC60CF1"/>
    <w:rsid w:val="4DC81DD3"/>
    <w:rsid w:val="4DCA62C9"/>
    <w:rsid w:val="4DD776ED"/>
    <w:rsid w:val="4DDF6E13"/>
    <w:rsid w:val="4DE227A0"/>
    <w:rsid w:val="4DE60E50"/>
    <w:rsid w:val="4DE650B3"/>
    <w:rsid w:val="4DE92095"/>
    <w:rsid w:val="4DEB4734"/>
    <w:rsid w:val="4DEF33CD"/>
    <w:rsid w:val="4DF16A82"/>
    <w:rsid w:val="4DF20FEE"/>
    <w:rsid w:val="4DF677EB"/>
    <w:rsid w:val="4DFD2E95"/>
    <w:rsid w:val="4E007E98"/>
    <w:rsid w:val="4E016672"/>
    <w:rsid w:val="4E066F25"/>
    <w:rsid w:val="4E080851"/>
    <w:rsid w:val="4E084717"/>
    <w:rsid w:val="4E0939E5"/>
    <w:rsid w:val="4E0E35DC"/>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379C"/>
    <w:rsid w:val="4EC05169"/>
    <w:rsid w:val="4EC067E6"/>
    <w:rsid w:val="4EC32119"/>
    <w:rsid w:val="4EC5134E"/>
    <w:rsid w:val="4ECA2CB3"/>
    <w:rsid w:val="4ECB66A8"/>
    <w:rsid w:val="4ED32EBD"/>
    <w:rsid w:val="4EDB087F"/>
    <w:rsid w:val="4EE467E5"/>
    <w:rsid w:val="4EE51F5F"/>
    <w:rsid w:val="4EE61722"/>
    <w:rsid w:val="4EE86D63"/>
    <w:rsid w:val="4EEC3838"/>
    <w:rsid w:val="4EED3B10"/>
    <w:rsid w:val="4EEE11A3"/>
    <w:rsid w:val="4EF07E6E"/>
    <w:rsid w:val="4EF13ACF"/>
    <w:rsid w:val="4EF33401"/>
    <w:rsid w:val="4EFE4EC2"/>
    <w:rsid w:val="4EFF1B1D"/>
    <w:rsid w:val="4EFF3444"/>
    <w:rsid w:val="4F037BFA"/>
    <w:rsid w:val="4F0441E5"/>
    <w:rsid w:val="4F1135FE"/>
    <w:rsid w:val="4F155F27"/>
    <w:rsid w:val="4F161B09"/>
    <w:rsid w:val="4F181305"/>
    <w:rsid w:val="4F1A238F"/>
    <w:rsid w:val="4F224E1E"/>
    <w:rsid w:val="4F2C365D"/>
    <w:rsid w:val="4F3646C1"/>
    <w:rsid w:val="4F376D93"/>
    <w:rsid w:val="4F3C5675"/>
    <w:rsid w:val="4F3D4163"/>
    <w:rsid w:val="4F43442F"/>
    <w:rsid w:val="4F4D4275"/>
    <w:rsid w:val="4F50208E"/>
    <w:rsid w:val="4F52610D"/>
    <w:rsid w:val="4F5F525E"/>
    <w:rsid w:val="4F65743C"/>
    <w:rsid w:val="4F6E6F86"/>
    <w:rsid w:val="4F7278C6"/>
    <w:rsid w:val="4F764CC2"/>
    <w:rsid w:val="4F7A6323"/>
    <w:rsid w:val="4F80087D"/>
    <w:rsid w:val="4F823D55"/>
    <w:rsid w:val="4F85034E"/>
    <w:rsid w:val="4F8A65A6"/>
    <w:rsid w:val="4F8C241B"/>
    <w:rsid w:val="4F935C7F"/>
    <w:rsid w:val="4F974405"/>
    <w:rsid w:val="4F983E33"/>
    <w:rsid w:val="4F9B5328"/>
    <w:rsid w:val="4FA16607"/>
    <w:rsid w:val="4FAB2D3A"/>
    <w:rsid w:val="4FAB3627"/>
    <w:rsid w:val="4FAB7893"/>
    <w:rsid w:val="4FB13D38"/>
    <w:rsid w:val="4FB40C2C"/>
    <w:rsid w:val="4FBA52BE"/>
    <w:rsid w:val="4FBA74EE"/>
    <w:rsid w:val="4FBB5569"/>
    <w:rsid w:val="4FBF1E32"/>
    <w:rsid w:val="4FC55B49"/>
    <w:rsid w:val="4FC803AA"/>
    <w:rsid w:val="4FCB45DF"/>
    <w:rsid w:val="4FCD3825"/>
    <w:rsid w:val="4FD048A4"/>
    <w:rsid w:val="4FD365FC"/>
    <w:rsid w:val="4FD62D61"/>
    <w:rsid w:val="4FD635E5"/>
    <w:rsid w:val="4FD86992"/>
    <w:rsid w:val="4FD97B77"/>
    <w:rsid w:val="4FDB58E9"/>
    <w:rsid w:val="4FDC6418"/>
    <w:rsid w:val="4FDE02CC"/>
    <w:rsid w:val="4FE13662"/>
    <w:rsid w:val="4FE15781"/>
    <w:rsid w:val="4FE3603D"/>
    <w:rsid w:val="4FED03D0"/>
    <w:rsid w:val="4FF5506D"/>
    <w:rsid w:val="4FFE1157"/>
    <w:rsid w:val="4FFF3806"/>
    <w:rsid w:val="4FFF49BB"/>
    <w:rsid w:val="500037EE"/>
    <w:rsid w:val="5004344D"/>
    <w:rsid w:val="50046739"/>
    <w:rsid w:val="50095827"/>
    <w:rsid w:val="50100572"/>
    <w:rsid w:val="5014542B"/>
    <w:rsid w:val="50186BF6"/>
    <w:rsid w:val="502751AB"/>
    <w:rsid w:val="502B29EA"/>
    <w:rsid w:val="502C4247"/>
    <w:rsid w:val="502D25A0"/>
    <w:rsid w:val="502D660A"/>
    <w:rsid w:val="50347D28"/>
    <w:rsid w:val="50363B3A"/>
    <w:rsid w:val="50373011"/>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8F1668"/>
    <w:rsid w:val="509A3231"/>
    <w:rsid w:val="509C736A"/>
    <w:rsid w:val="50A75597"/>
    <w:rsid w:val="50AF1C59"/>
    <w:rsid w:val="50B139BD"/>
    <w:rsid w:val="50B92297"/>
    <w:rsid w:val="50BB6D88"/>
    <w:rsid w:val="50BC562F"/>
    <w:rsid w:val="50BD1498"/>
    <w:rsid w:val="50BD72B5"/>
    <w:rsid w:val="50BE1B1D"/>
    <w:rsid w:val="50BF0DF0"/>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77CDA"/>
    <w:rsid w:val="512A1621"/>
    <w:rsid w:val="512B350B"/>
    <w:rsid w:val="51316AFD"/>
    <w:rsid w:val="51321853"/>
    <w:rsid w:val="51375EB3"/>
    <w:rsid w:val="513853CC"/>
    <w:rsid w:val="51392D77"/>
    <w:rsid w:val="513A0F72"/>
    <w:rsid w:val="513F081D"/>
    <w:rsid w:val="513F0EBA"/>
    <w:rsid w:val="51461DCE"/>
    <w:rsid w:val="514C1E16"/>
    <w:rsid w:val="514F6CB4"/>
    <w:rsid w:val="515361F4"/>
    <w:rsid w:val="51545B04"/>
    <w:rsid w:val="515529BB"/>
    <w:rsid w:val="515A64E3"/>
    <w:rsid w:val="515C30A6"/>
    <w:rsid w:val="5161698E"/>
    <w:rsid w:val="51626EAD"/>
    <w:rsid w:val="516D54B2"/>
    <w:rsid w:val="51716992"/>
    <w:rsid w:val="51716E9B"/>
    <w:rsid w:val="517C0CA0"/>
    <w:rsid w:val="517F00BC"/>
    <w:rsid w:val="5188076F"/>
    <w:rsid w:val="518F682C"/>
    <w:rsid w:val="5195533B"/>
    <w:rsid w:val="519645E3"/>
    <w:rsid w:val="519705AE"/>
    <w:rsid w:val="5199124A"/>
    <w:rsid w:val="519C1703"/>
    <w:rsid w:val="519C5619"/>
    <w:rsid w:val="519D2F03"/>
    <w:rsid w:val="51AD6F40"/>
    <w:rsid w:val="51BE2EAE"/>
    <w:rsid w:val="51C0716E"/>
    <w:rsid w:val="51C24631"/>
    <w:rsid w:val="51D43598"/>
    <w:rsid w:val="51DA51E8"/>
    <w:rsid w:val="51DA5890"/>
    <w:rsid w:val="51E31892"/>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46B"/>
    <w:rsid w:val="521D7ED7"/>
    <w:rsid w:val="52204E6E"/>
    <w:rsid w:val="52220F9E"/>
    <w:rsid w:val="522A1847"/>
    <w:rsid w:val="5239194F"/>
    <w:rsid w:val="52395DD3"/>
    <w:rsid w:val="5243170A"/>
    <w:rsid w:val="52491A8E"/>
    <w:rsid w:val="52515A97"/>
    <w:rsid w:val="52575998"/>
    <w:rsid w:val="525B2E77"/>
    <w:rsid w:val="52612620"/>
    <w:rsid w:val="526478E1"/>
    <w:rsid w:val="526A546C"/>
    <w:rsid w:val="526E5A7E"/>
    <w:rsid w:val="527109CC"/>
    <w:rsid w:val="52716F30"/>
    <w:rsid w:val="52790FD9"/>
    <w:rsid w:val="52887A7D"/>
    <w:rsid w:val="52894DE6"/>
    <w:rsid w:val="528A72EE"/>
    <w:rsid w:val="528C5DBC"/>
    <w:rsid w:val="528C5E23"/>
    <w:rsid w:val="528F1476"/>
    <w:rsid w:val="52993DA6"/>
    <w:rsid w:val="529B368E"/>
    <w:rsid w:val="529B5EE8"/>
    <w:rsid w:val="529C2A64"/>
    <w:rsid w:val="529E07F7"/>
    <w:rsid w:val="529F0D9B"/>
    <w:rsid w:val="52A36006"/>
    <w:rsid w:val="52AF67CC"/>
    <w:rsid w:val="52B2658F"/>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24B7D"/>
    <w:rsid w:val="53155215"/>
    <w:rsid w:val="531621BA"/>
    <w:rsid w:val="531647C6"/>
    <w:rsid w:val="531D0F10"/>
    <w:rsid w:val="531E5AE4"/>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70F7F"/>
    <w:rsid w:val="53671364"/>
    <w:rsid w:val="536D41AE"/>
    <w:rsid w:val="536F7573"/>
    <w:rsid w:val="5370597D"/>
    <w:rsid w:val="53763151"/>
    <w:rsid w:val="53794E20"/>
    <w:rsid w:val="537A78AC"/>
    <w:rsid w:val="537D3C2F"/>
    <w:rsid w:val="537F6041"/>
    <w:rsid w:val="537F6E45"/>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A5D5C"/>
    <w:rsid w:val="53CC0953"/>
    <w:rsid w:val="53D011BC"/>
    <w:rsid w:val="53D153F9"/>
    <w:rsid w:val="53DB35A3"/>
    <w:rsid w:val="53DC2808"/>
    <w:rsid w:val="53DF54A9"/>
    <w:rsid w:val="53E07B00"/>
    <w:rsid w:val="53E27BE1"/>
    <w:rsid w:val="53E67838"/>
    <w:rsid w:val="53EC3D29"/>
    <w:rsid w:val="53F166F3"/>
    <w:rsid w:val="53F90D34"/>
    <w:rsid w:val="53FF142F"/>
    <w:rsid w:val="54002BFD"/>
    <w:rsid w:val="54005EAA"/>
    <w:rsid w:val="54033325"/>
    <w:rsid w:val="54045B22"/>
    <w:rsid w:val="5408543B"/>
    <w:rsid w:val="541942B6"/>
    <w:rsid w:val="54242D6B"/>
    <w:rsid w:val="54265D45"/>
    <w:rsid w:val="542A3FEF"/>
    <w:rsid w:val="542A5504"/>
    <w:rsid w:val="542B773A"/>
    <w:rsid w:val="542F7A60"/>
    <w:rsid w:val="54346136"/>
    <w:rsid w:val="543C2DD1"/>
    <w:rsid w:val="54417AA1"/>
    <w:rsid w:val="544B51BC"/>
    <w:rsid w:val="54506E8F"/>
    <w:rsid w:val="54525FC9"/>
    <w:rsid w:val="5452765B"/>
    <w:rsid w:val="54550067"/>
    <w:rsid w:val="5456706C"/>
    <w:rsid w:val="54580F5A"/>
    <w:rsid w:val="545E776C"/>
    <w:rsid w:val="54726053"/>
    <w:rsid w:val="5473267E"/>
    <w:rsid w:val="5478695B"/>
    <w:rsid w:val="547F604A"/>
    <w:rsid w:val="54833968"/>
    <w:rsid w:val="54860559"/>
    <w:rsid w:val="54864DA6"/>
    <w:rsid w:val="548810E8"/>
    <w:rsid w:val="548C6F7D"/>
    <w:rsid w:val="54906088"/>
    <w:rsid w:val="54907EF0"/>
    <w:rsid w:val="549438A5"/>
    <w:rsid w:val="549A1897"/>
    <w:rsid w:val="549C6534"/>
    <w:rsid w:val="54A14490"/>
    <w:rsid w:val="54A153FA"/>
    <w:rsid w:val="54AB29C5"/>
    <w:rsid w:val="54AB36A1"/>
    <w:rsid w:val="54B171C4"/>
    <w:rsid w:val="54B61DA8"/>
    <w:rsid w:val="54B62C99"/>
    <w:rsid w:val="54BA7D2B"/>
    <w:rsid w:val="54C01D88"/>
    <w:rsid w:val="54CC47C4"/>
    <w:rsid w:val="54D43CF0"/>
    <w:rsid w:val="54DE5F98"/>
    <w:rsid w:val="54DF688B"/>
    <w:rsid w:val="54DF7D47"/>
    <w:rsid w:val="54E30614"/>
    <w:rsid w:val="54E5025A"/>
    <w:rsid w:val="54E95643"/>
    <w:rsid w:val="54F24F21"/>
    <w:rsid w:val="54F26B12"/>
    <w:rsid w:val="5500572A"/>
    <w:rsid w:val="550057C3"/>
    <w:rsid w:val="55005D51"/>
    <w:rsid w:val="550853A7"/>
    <w:rsid w:val="550E6C32"/>
    <w:rsid w:val="551C2E90"/>
    <w:rsid w:val="551E7784"/>
    <w:rsid w:val="5520096E"/>
    <w:rsid w:val="5522708D"/>
    <w:rsid w:val="552A08A4"/>
    <w:rsid w:val="552D0D7F"/>
    <w:rsid w:val="55443ED4"/>
    <w:rsid w:val="554710B0"/>
    <w:rsid w:val="554A4C14"/>
    <w:rsid w:val="554E0863"/>
    <w:rsid w:val="554F0BC2"/>
    <w:rsid w:val="55530BE7"/>
    <w:rsid w:val="555737A6"/>
    <w:rsid w:val="55577AFF"/>
    <w:rsid w:val="55611FED"/>
    <w:rsid w:val="556901BC"/>
    <w:rsid w:val="556C1CC4"/>
    <w:rsid w:val="55712540"/>
    <w:rsid w:val="5572425B"/>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46E40"/>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00508"/>
    <w:rsid w:val="55F2506A"/>
    <w:rsid w:val="55F27A1E"/>
    <w:rsid w:val="55F70E1B"/>
    <w:rsid w:val="55FB7693"/>
    <w:rsid w:val="560469FC"/>
    <w:rsid w:val="5609174E"/>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80952"/>
    <w:rsid w:val="566F4403"/>
    <w:rsid w:val="567215D4"/>
    <w:rsid w:val="567243AF"/>
    <w:rsid w:val="56797FC5"/>
    <w:rsid w:val="567A6CC0"/>
    <w:rsid w:val="567E4F7B"/>
    <w:rsid w:val="567F0874"/>
    <w:rsid w:val="56833D2F"/>
    <w:rsid w:val="56880496"/>
    <w:rsid w:val="568A220C"/>
    <w:rsid w:val="568B546B"/>
    <w:rsid w:val="568D0940"/>
    <w:rsid w:val="56902B88"/>
    <w:rsid w:val="56927DA4"/>
    <w:rsid w:val="56A032E3"/>
    <w:rsid w:val="56A04928"/>
    <w:rsid w:val="56A32A8F"/>
    <w:rsid w:val="56A418DC"/>
    <w:rsid w:val="56A50EBB"/>
    <w:rsid w:val="56A83AE3"/>
    <w:rsid w:val="56AB6535"/>
    <w:rsid w:val="56AD05C9"/>
    <w:rsid w:val="56AD339E"/>
    <w:rsid w:val="56AF2022"/>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10DEE"/>
    <w:rsid w:val="575425F9"/>
    <w:rsid w:val="575A2017"/>
    <w:rsid w:val="575C5FBB"/>
    <w:rsid w:val="575E118F"/>
    <w:rsid w:val="57685F5D"/>
    <w:rsid w:val="57692A18"/>
    <w:rsid w:val="576D6DDF"/>
    <w:rsid w:val="57702374"/>
    <w:rsid w:val="57780ED4"/>
    <w:rsid w:val="577E3A90"/>
    <w:rsid w:val="578330F9"/>
    <w:rsid w:val="578577AD"/>
    <w:rsid w:val="57886A0D"/>
    <w:rsid w:val="57896321"/>
    <w:rsid w:val="57995066"/>
    <w:rsid w:val="579A7C07"/>
    <w:rsid w:val="579C3914"/>
    <w:rsid w:val="579E4A2C"/>
    <w:rsid w:val="57A46FEE"/>
    <w:rsid w:val="57AF2338"/>
    <w:rsid w:val="57AF7168"/>
    <w:rsid w:val="57B02763"/>
    <w:rsid w:val="57B6547E"/>
    <w:rsid w:val="57BC7C9C"/>
    <w:rsid w:val="57BF6387"/>
    <w:rsid w:val="57D01AAC"/>
    <w:rsid w:val="57D24254"/>
    <w:rsid w:val="57DA0D38"/>
    <w:rsid w:val="57DD0266"/>
    <w:rsid w:val="57DD0432"/>
    <w:rsid w:val="57DD4E33"/>
    <w:rsid w:val="57DE0A52"/>
    <w:rsid w:val="57DF6500"/>
    <w:rsid w:val="57E60B9B"/>
    <w:rsid w:val="57E7261A"/>
    <w:rsid w:val="57E73B61"/>
    <w:rsid w:val="57E86105"/>
    <w:rsid w:val="57E94C34"/>
    <w:rsid w:val="57F01737"/>
    <w:rsid w:val="57F454EB"/>
    <w:rsid w:val="57F73696"/>
    <w:rsid w:val="57FF1B6C"/>
    <w:rsid w:val="58005923"/>
    <w:rsid w:val="58023669"/>
    <w:rsid w:val="5803475B"/>
    <w:rsid w:val="58047221"/>
    <w:rsid w:val="580A6FBE"/>
    <w:rsid w:val="580F5BC1"/>
    <w:rsid w:val="58153B58"/>
    <w:rsid w:val="581F48F8"/>
    <w:rsid w:val="5822786C"/>
    <w:rsid w:val="58243371"/>
    <w:rsid w:val="58273625"/>
    <w:rsid w:val="58293CFC"/>
    <w:rsid w:val="582A7BC5"/>
    <w:rsid w:val="582D0ED5"/>
    <w:rsid w:val="58302962"/>
    <w:rsid w:val="5835010B"/>
    <w:rsid w:val="5837748B"/>
    <w:rsid w:val="583827BB"/>
    <w:rsid w:val="583A5DB0"/>
    <w:rsid w:val="58431BF0"/>
    <w:rsid w:val="58457559"/>
    <w:rsid w:val="584617B0"/>
    <w:rsid w:val="5846366F"/>
    <w:rsid w:val="584654C9"/>
    <w:rsid w:val="58470241"/>
    <w:rsid w:val="58484F55"/>
    <w:rsid w:val="584E6557"/>
    <w:rsid w:val="58563BF0"/>
    <w:rsid w:val="58590DD2"/>
    <w:rsid w:val="5863473D"/>
    <w:rsid w:val="586C2A31"/>
    <w:rsid w:val="586E1447"/>
    <w:rsid w:val="58755692"/>
    <w:rsid w:val="5878285F"/>
    <w:rsid w:val="587E2D46"/>
    <w:rsid w:val="588509DD"/>
    <w:rsid w:val="588730EA"/>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6178A"/>
    <w:rsid w:val="58D60F68"/>
    <w:rsid w:val="58DB456A"/>
    <w:rsid w:val="58DD32FE"/>
    <w:rsid w:val="58E20748"/>
    <w:rsid w:val="58E85F5C"/>
    <w:rsid w:val="58E909DD"/>
    <w:rsid w:val="58EB1C90"/>
    <w:rsid w:val="58EB41D7"/>
    <w:rsid w:val="58EB6943"/>
    <w:rsid w:val="58EC77B6"/>
    <w:rsid w:val="58EE18A7"/>
    <w:rsid w:val="58F57D12"/>
    <w:rsid w:val="58F83806"/>
    <w:rsid w:val="58FA06B2"/>
    <w:rsid w:val="59071AD0"/>
    <w:rsid w:val="59091914"/>
    <w:rsid w:val="59094784"/>
    <w:rsid w:val="59263201"/>
    <w:rsid w:val="59267EF0"/>
    <w:rsid w:val="592F09FB"/>
    <w:rsid w:val="59376E4C"/>
    <w:rsid w:val="59421F7E"/>
    <w:rsid w:val="59424509"/>
    <w:rsid w:val="594935F2"/>
    <w:rsid w:val="594C2750"/>
    <w:rsid w:val="594E0DCB"/>
    <w:rsid w:val="5955078B"/>
    <w:rsid w:val="595C0946"/>
    <w:rsid w:val="59604A5E"/>
    <w:rsid w:val="59642A7A"/>
    <w:rsid w:val="596D32B4"/>
    <w:rsid w:val="596D683E"/>
    <w:rsid w:val="596E7B91"/>
    <w:rsid w:val="59774D3E"/>
    <w:rsid w:val="599148CE"/>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557F3"/>
    <w:rsid w:val="5A184DA6"/>
    <w:rsid w:val="5A1D0AF2"/>
    <w:rsid w:val="5A1E6A9C"/>
    <w:rsid w:val="5A1F5196"/>
    <w:rsid w:val="5A227353"/>
    <w:rsid w:val="5A265096"/>
    <w:rsid w:val="5A2943A6"/>
    <w:rsid w:val="5A2A6592"/>
    <w:rsid w:val="5A2B2B6B"/>
    <w:rsid w:val="5A2D0557"/>
    <w:rsid w:val="5A340B09"/>
    <w:rsid w:val="5A3F3527"/>
    <w:rsid w:val="5A440B9D"/>
    <w:rsid w:val="5A4C430E"/>
    <w:rsid w:val="5A5128C3"/>
    <w:rsid w:val="5A525A46"/>
    <w:rsid w:val="5A544C9D"/>
    <w:rsid w:val="5A575C31"/>
    <w:rsid w:val="5A5C7772"/>
    <w:rsid w:val="5A6336A1"/>
    <w:rsid w:val="5A6B7C88"/>
    <w:rsid w:val="5A73612A"/>
    <w:rsid w:val="5A8B6691"/>
    <w:rsid w:val="5A8C0313"/>
    <w:rsid w:val="5A8F76C1"/>
    <w:rsid w:val="5A921A04"/>
    <w:rsid w:val="5A9A0A66"/>
    <w:rsid w:val="5AA541CF"/>
    <w:rsid w:val="5AAA6640"/>
    <w:rsid w:val="5AAB0F8D"/>
    <w:rsid w:val="5AAF48E4"/>
    <w:rsid w:val="5AB96041"/>
    <w:rsid w:val="5ABC4831"/>
    <w:rsid w:val="5ABC6BFA"/>
    <w:rsid w:val="5AC366EB"/>
    <w:rsid w:val="5AC43AE0"/>
    <w:rsid w:val="5AC4427C"/>
    <w:rsid w:val="5AC710F6"/>
    <w:rsid w:val="5AD05000"/>
    <w:rsid w:val="5AD054B7"/>
    <w:rsid w:val="5AD149C0"/>
    <w:rsid w:val="5AD510F0"/>
    <w:rsid w:val="5AD60A03"/>
    <w:rsid w:val="5AD66D5E"/>
    <w:rsid w:val="5ADF1395"/>
    <w:rsid w:val="5ADF7C0E"/>
    <w:rsid w:val="5AE319A2"/>
    <w:rsid w:val="5AE839CA"/>
    <w:rsid w:val="5AEB23B8"/>
    <w:rsid w:val="5AF82FCA"/>
    <w:rsid w:val="5AF8657A"/>
    <w:rsid w:val="5AF961E7"/>
    <w:rsid w:val="5AFE5C3F"/>
    <w:rsid w:val="5B000850"/>
    <w:rsid w:val="5B0C12AF"/>
    <w:rsid w:val="5B187495"/>
    <w:rsid w:val="5B1945A0"/>
    <w:rsid w:val="5B195966"/>
    <w:rsid w:val="5B1B10FA"/>
    <w:rsid w:val="5B1B5003"/>
    <w:rsid w:val="5B225A79"/>
    <w:rsid w:val="5B2445B5"/>
    <w:rsid w:val="5B2559CC"/>
    <w:rsid w:val="5B2A41C4"/>
    <w:rsid w:val="5B2B5E52"/>
    <w:rsid w:val="5B33307E"/>
    <w:rsid w:val="5B3720E5"/>
    <w:rsid w:val="5B3A441E"/>
    <w:rsid w:val="5B3E0A56"/>
    <w:rsid w:val="5B473245"/>
    <w:rsid w:val="5B492D29"/>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06EDA"/>
    <w:rsid w:val="5B975E5B"/>
    <w:rsid w:val="5B9C0984"/>
    <w:rsid w:val="5B9E4045"/>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35CC9"/>
    <w:rsid w:val="5C182702"/>
    <w:rsid w:val="5C1832F4"/>
    <w:rsid w:val="5C192B58"/>
    <w:rsid w:val="5C1A3044"/>
    <w:rsid w:val="5C1C0052"/>
    <w:rsid w:val="5C1E7545"/>
    <w:rsid w:val="5C26494E"/>
    <w:rsid w:val="5C283393"/>
    <w:rsid w:val="5C3B2DCF"/>
    <w:rsid w:val="5C494FA5"/>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D705E"/>
    <w:rsid w:val="5CB25DDB"/>
    <w:rsid w:val="5CB31F21"/>
    <w:rsid w:val="5CB56A95"/>
    <w:rsid w:val="5CBF4297"/>
    <w:rsid w:val="5CBF5650"/>
    <w:rsid w:val="5CC020E7"/>
    <w:rsid w:val="5CC258FC"/>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9384D"/>
    <w:rsid w:val="5D1F7325"/>
    <w:rsid w:val="5D22473A"/>
    <w:rsid w:val="5D260848"/>
    <w:rsid w:val="5D265CB5"/>
    <w:rsid w:val="5D2B5629"/>
    <w:rsid w:val="5D315CEB"/>
    <w:rsid w:val="5D326462"/>
    <w:rsid w:val="5D3926A3"/>
    <w:rsid w:val="5D3B59DF"/>
    <w:rsid w:val="5D473075"/>
    <w:rsid w:val="5D475E41"/>
    <w:rsid w:val="5D4822EE"/>
    <w:rsid w:val="5D574D06"/>
    <w:rsid w:val="5D5864DB"/>
    <w:rsid w:val="5D5C6005"/>
    <w:rsid w:val="5D643938"/>
    <w:rsid w:val="5D73393B"/>
    <w:rsid w:val="5D76353B"/>
    <w:rsid w:val="5D784379"/>
    <w:rsid w:val="5D7B3457"/>
    <w:rsid w:val="5D7C0226"/>
    <w:rsid w:val="5D7D1314"/>
    <w:rsid w:val="5D7E3FEA"/>
    <w:rsid w:val="5D7E4398"/>
    <w:rsid w:val="5D8719B9"/>
    <w:rsid w:val="5D8B2715"/>
    <w:rsid w:val="5D8B363A"/>
    <w:rsid w:val="5D8B5841"/>
    <w:rsid w:val="5D8D250E"/>
    <w:rsid w:val="5D8E171D"/>
    <w:rsid w:val="5D8F399C"/>
    <w:rsid w:val="5D8F6111"/>
    <w:rsid w:val="5D915AFD"/>
    <w:rsid w:val="5D9404A9"/>
    <w:rsid w:val="5D976050"/>
    <w:rsid w:val="5D9923EF"/>
    <w:rsid w:val="5D9A23F4"/>
    <w:rsid w:val="5D9F6617"/>
    <w:rsid w:val="5D9F7C74"/>
    <w:rsid w:val="5DAE2E8C"/>
    <w:rsid w:val="5DAE7F34"/>
    <w:rsid w:val="5DB65502"/>
    <w:rsid w:val="5DCC448A"/>
    <w:rsid w:val="5DD047B2"/>
    <w:rsid w:val="5DD70750"/>
    <w:rsid w:val="5DD93979"/>
    <w:rsid w:val="5DDF712E"/>
    <w:rsid w:val="5DE44DF4"/>
    <w:rsid w:val="5DED4540"/>
    <w:rsid w:val="5DEE0883"/>
    <w:rsid w:val="5DF66F0F"/>
    <w:rsid w:val="5DF90734"/>
    <w:rsid w:val="5DFD027B"/>
    <w:rsid w:val="5DFD492D"/>
    <w:rsid w:val="5E00720B"/>
    <w:rsid w:val="5E012896"/>
    <w:rsid w:val="5E040F9B"/>
    <w:rsid w:val="5E0535A2"/>
    <w:rsid w:val="5E0825B2"/>
    <w:rsid w:val="5E0A6049"/>
    <w:rsid w:val="5E107AE2"/>
    <w:rsid w:val="5E156B70"/>
    <w:rsid w:val="5E1574AD"/>
    <w:rsid w:val="5E21165A"/>
    <w:rsid w:val="5E225223"/>
    <w:rsid w:val="5E226508"/>
    <w:rsid w:val="5E2368B5"/>
    <w:rsid w:val="5E333067"/>
    <w:rsid w:val="5E344390"/>
    <w:rsid w:val="5E3510F4"/>
    <w:rsid w:val="5E352EB6"/>
    <w:rsid w:val="5E400BF0"/>
    <w:rsid w:val="5E403445"/>
    <w:rsid w:val="5E4250B0"/>
    <w:rsid w:val="5E4A3E88"/>
    <w:rsid w:val="5E4E539E"/>
    <w:rsid w:val="5E5E742A"/>
    <w:rsid w:val="5E5F0687"/>
    <w:rsid w:val="5E637624"/>
    <w:rsid w:val="5E6454D9"/>
    <w:rsid w:val="5E680BE8"/>
    <w:rsid w:val="5E6B7FF0"/>
    <w:rsid w:val="5E6D4BA8"/>
    <w:rsid w:val="5E783202"/>
    <w:rsid w:val="5E7842EE"/>
    <w:rsid w:val="5E803D55"/>
    <w:rsid w:val="5E854DAE"/>
    <w:rsid w:val="5E8621DB"/>
    <w:rsid w:val="5E892AB0"/>
    <w:rsid w:val="5E8A4B3C"/>
    <w:rsid w:val="5E8F2023"/>
    <w:rsid w:val="5E933CE0"/>
    <w:rsid w:val="5EA36A9B"/>
    <w:rsid w:val="5EA648E2"/>
    <w:rsid w:val="5EA66B62"/>
    <w:rsid w:val="5EB108AB"/>
    <w:rsid w:val="5EB32415"/>
    <w:rsid w:val="5EB41D1A"/>
    <w:rsid w:val="5EB43166"/>
    <w:rsid w:val="5EB52E6F"/>
    <w:rsid w:val="5EB810C3"/>
    <w:rsid w:val="5EB85D4B"/>
    <w:rsid w:val="5EBF1F0D"/>
    <w:rsid w:val="5EC91A19"/>
    <w:rsid w:val="5EC94A60"/>
    <w:rsid w:val="5ED95EEE"/>
    <w:rsid w:val="5EE55DDE"/>
    <w:rsid w:val="5EF04AC4"/>
    <w:rsid w:val="5EF10180"/>
    <w:rsid w:val="5EF47473"/>
    <w:rsid w:val="5EF54275"/>
    <w:rsid w:val="5EFE064F"/>
    <w:rsid w:val="5EFF0A49"/>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927E4"/>
    <w:rsid w:val="5F8B5DC3"/>
    <w:rsid w:val="5F8C52DB"/>
    <w:rsid w:val="5F961ABE"/>
    <w:rsid w:val="5F966692"/>
    <w:rsid w:val="5F976195"/>
    <w:rsid w:val="5F99467F"/>
    <w:rsid w:val="5F9E139C"/>
    <w:rsid w:val="5FA00A10"/>
    <w:rsid w:val="5FA342F8"/>
    <w:rsid w:val="5FA4374A"/>
    <w:rsid w:val="5FA4380A"/>
    <w:rsid w:val="5FAB674F"/>
    <w:rsid w:val="5FAE291F"/>
    <w:rsid w:val="5FB25387"/>
    <w:rsid w:val="5FB35786"/>
    <w:rsid w:val="5FB620C2"/>
    <w:rsid w:val="5FC53509"/>
    <w:rsid w:val="5FD20829"/>
    <w:rsid w:val="5FD87BA2"/>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A3E4E"/>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AF374C"/>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EA1DFB"/>
    <w:rsid w:val="60F46839"/>
    <w:rsid w:val="60F93A43"/>
    <w:rsid w:val="60FA19EB"/>
    <w:rsid w:val="61027740"/>
    <w:rsid w:val="61034098"/>
    <w:rsid w:val="61067A64"/>
    <w:rsid w:val="610C7D1D"/>
    <w:rsid w:val="61105E47"/>
    <w:rsid w:val="6112529A"/>
    <w:rsid w:val="6119263B"/>
    <w:rsid w:val="611A7B15"/>
    <w:rsid w:val="611C59F7"/>
    <w:rsid w:val="611F0B09"/>
    <w:rsid w:val="61200AAF"/>
    <w:rsid w:val="61216F60"/>
    <w:rsid w:val="612340FA"/>
    <w:rsid w:val="61255650"/>
    <w:rsid w:val="61275113"/>
    <w:rsid w:val="612D2321"/>
    <w:rsid w:val="61354851"/>
    <w:rsid w:val="614120E7"/>
    <w:rsid w:val="614415AC"/>
    <w:rsid w:val="61455CF4"/>
    <w:rsid w:val="61466898"/>
    <w:rsid w:val="614D7D14"/>
    <w:rsid w:val="61503EED"/>
    <w:rsid w:val="615B2659"/>
    <w:rsid w:val="615E36E9"/>
    <w:rsid w:val="615E3F04"/>
    <w:rsid w:val="615E7EF4"/>
    <w:rsid w:val="61615C92"/>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84B64"/>
    <w:rsid w:val="61CD3107"/>
    <w:rsid w:val="61D21120"/>
    <w:rsid w:val="61D4785D"/>
    <w:rsid w:val="61DF4A89"/>
    <w:rsid w:val="61E728F9"/>
    <w:rsid w:val="61ED6910"/>
    <w:rsid w:val="61F339AB"/>
    <w:rsid w:val="61F3667F"/>
    <w:rsid w:val="61F43F82"/>
    <w:rsid w:val="61FB110C"/>
    <w:rsid w:val="620312B9"/>
    <w:rsid w:val="62040A3C"/>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0CFB"/>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D4643"/>
    <w:rsid w:val="628E0ACA"/>
    <w:rsid w:val="62931BA9"/>
    <w:rsid w:val="6293217C"/>
    <w:rsid w:val="6295194F"/>
    <w:rsid w:val="6299295E"/>
    <w:rsid w:val="629A07BC"/>
    <w:rsid w:val="62A33CA7"/>
    <w:rsid w:val="62B04D4D"/>
    <w:rsid w:val="62B94634"/>
    <w:rsid w:val="62BA3B2B"/>
    <w:rsid w:val="62C37511"/>
    <w:rsid w:val="62C53F53"/>
    <w:rsid w:val="62D0410E"/>
    <w:rsid w:val="62D11C3F"/>
    <w:rsid w:val="62D67D61"/>
    <w:rsid w:val="62D75244"/>
    <w:rsid w:val="62E157FC"/>
    <w:rsid w:val="62E51978"/>
    <w:rsid w:val="62E81148"/>
    <w:rsid w:val="62E83A0D"/>
    <w:rsid w:val="62EB26C7"/>
    <w:rsid w:val="62F337B2"/>
    <w:rsid w:val="62F67FB9"/>
    <w:rsid w:val="62F76986"/>
    <w:rsid w:val="62FA3D7F"/>
    <w:rsid w:val="63074CE8"/>
    <w:rsid w:val="63134F5E"/>
    <w:rsid w:val="631360BB"/>
    <w:rsid w:val="631C3A36"/>
    <w:rsid w:val="631F2B34"/>
    <w:rsid w:val="63212420"/>
    <w:rsid w:val="63250B29"/>
    <w:rsid w:val="63257C8C"/>
    <w:rsid w:val="632936A9"/>
    <w:rsid w:val="632F06D8"/>
    <w:rsid w:val="63311536"/>
    <w:rsid w:val="63317698"/>
    <w:rsid w:val="63340EAE"/>
    <w:rsid w:val="634138C9"/>
    <w:rsid w:val="63443DC2"/>
    <w:rsid w:val="634B6A95"/>
    <w:rsid w:val="634F6CB9"/>
    <w:rsid w:val="63551D13"/>
    <w:rsid w:val="635711B4"/>
    <w:rsid w:val="635E6984"/>
    <w:rsid w:val="63615D3E"/>
    <w:rsid w:val="6367139B"/>
    <w:rsid w:val="63683422"/>
    <w:rsid w:val="636C62BA"/>
    <w:rsid w:val="63772576"/>
    <w:rsid w:val="6377592C"/>
    <w:rsid w:val="637F3A40"/>
    <w:rsid w:val="63821D61"/>
    <w:rsid w:val="63827E36"/>
    <w:rsid w:val="63842477"/>
    <w:rsid w:val="638823F9"/>
    <w:rsid w:val="638B04D2"/>
    <w:rsid w:val="6393155E"/>
    <w:rsid w:val="639429EF"/>
    <w:rsid w:val="639A118D"/>
    <w:rsid w:val="63A85CD1"/>
    <w:rsid w:val="63AA2BB2"/>
    <w:rsid w:val="63AB2A39"/>
    <w:rsid w:val="63AC08E4"/>
    <w:rsid w:val="63B02C42"/>
    <w:rsid w:val="63B234DD"/>
    <w:rsid w:val="63BA3C6A"/>
    <w:rsid w:val="63C51AD9"/>
    <w:rsid w:val="63C54411"/>
    <w:rsid w:val="63C733FE"/>
    <w:rsid w:val="63CA7519"/>
    <w:rsid w:val="63CD27C8"/>
    <w:rsid w:val="63CD299D"/>
    <w:rsid w:val="63CD4C2D"/>
    <w:rsid w:val="63CF2629"/>
    <w:rsid w:val="63D25E54"/>
    <w:rsid w:val="63D40E51"/>
    <w:rsid w:val="63D85FCA"/>
    <w:rsid w:val="63DE7B46"/>
    <w:rsid w:val="63E263F4"/>
    <w:rsid w:val="63E418C9"/>
    <w:rsid w:val="63E42E9B"/>
    <w:rsid w:val="63FB6EC6"/>
    <w:rsid w:val="63FD7654"/>
    <w:rsid w:val="63FF5AEB"/>
    <w:rsid w:val="6402740E"/>
    <w:rsid w:val="640B6911"/>
    <w:rsid w:val="640C2BB6"/>
    <w:rsid w:val="6411454E"/>
    <w:rsid w:val="64171844"/>
    <w:rsid w:val="642F12D3"/>
    <w:rsid w:val="643C53D6"/>
    <w:rsid w:val="643E0986"/>
    <w:rsid w:val="643F3FFC"/>
    <w:rsid w:val="644A69BC"/>
    <w:rsid w:val="644B0F33"/>
    <w:rsid w:val="645B5DC0"/>
    <w:rsid w:val="645D3A6B"/>
    <w:rsid w:val="64607611"/>
    <w:rsid w:val="646A06E2"/>
    <w:rsid w:val="646C4EF1"/>
    <w:rsid w:val="646C4FB8"/>
    <w:rsid w:val="64706C6F"/>
    <w:rsid w:val="6471159B"/>
    <w:rsid w:val="64797F5C"/>
    <w:rsid w:val="647F1F72"/>
    <w:rsid w:val="64814078"/>
    <w:rsid w:val="64837C6F"/>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5279F"/>
    <w:rsid w:val="64BE5702"/>
    <w:rsid w:val="64C16289"/>
    <w:rsid w:val="64CF05E4"/>
    <w:rsid w:val="64D93F02"/>
    <w:rsid w:val="64DB76D9"/>
    <w:rsid w:val="64E5543E"/>
    <w:rsid w:val="64E76F6D"/>
    <w:rsid w:val="64E9539B"/>
    <w:rsid w:val="64EA4517"/>
    <w:rsid w:val="64EE4E1F"/>
    <w:rsid w:val="64EF1F84"/>
    <w:rsid w:val="64FC561C"/>
    <w:rsid w:val="64FE0E31"/>
    <w:rsid w:val="64FE48AB"/>
    <w:rsid w:val="65073D21"/>
    <w:rsid w:val="650B189A"/>
    <w:rsid w:val="650C3EFF"/>
    <w:rsid w:val="6513070D"/>
    <w:rsid w:val="65181463"/>
    <w:rsid w:val="651835D8"/>
    <w:rsid w:val="651A5C6A"/>
    <w:rsid w:val="651C38DB"/>
    <w:rsid w:val="651C6D7F"/>
    <w:rsid w:val="65201F4F"/>
    <w:rsid w:val="65204394"/>
    <w:rsid w:val="6521732F"/>
    <w:rsid w:val="6522790C"/>
    <w:rsid w:val="6529417B"/>
    <w:rsid w:val="652A7A10"/>
    <w:rsid w:val="652C76EF"/>
    <w:rsid w:val="652D6A57"/>
    <w:rsid w:val="6530392C"/>
    <w:rsid w:val="65313D88"/>
    <w:rsid w:val="65380A93"/>
    <w:rsid w:val="653A13FE"/>
    <w:rsid w:val="653E78B1"/>
    <w:rsid w:val="65403733"/>
    <w:rsid w:val="654066D8"/>
    <w:rsid w:val="65427957"/>
    <w:rsid w:val="65430291"/>
    <w:rsid w:val="654468BF"/>
    <w:rsid w:val="65510C65"/>
    <w:rsid w:val="65534F5E"/>
    <w:rsid w:val="655754CB"/>
    <w:rsid w:val="655D4547"/>
    <w:rsid w:val="655E2D72"/>
    <w:rsid w:val="655E5E10"/>
    <w:rsid w:val="656171FC"/>
    <w:rsid w:val="65635CAF"/>
    <w:rsid w:val="65636611"/>
    <w:rsid w:val="65650261"/>
    <w:rsid w:val="656E5081"/>
    <w:rsid w:val="656F1A01"/>
    <w:rsid w:val="6570700F"/>
    <w:rsid w:val="657310DB"/>
    <w:rsid w:val="657F0CE6"/>
    <w:rsid w:val="65833C4F"/>
    <w:rsid w:val="658B37B6"/>
    <w:rsid w:val="6590595E"/>
    <w:rsid w:val="65972789"/>
    <w:rsid w:val="65997DEB"/>
    <w:rsid w:val="659B7DA2"/>
    <w:rsid w:val="659C17EE"/>
    <w:rsid w:val="65A04E31"/>
    <w:rsid w:val="65A62772"/>
    <w:rsid w:val="65A65E7D"/>
    <w:rsid w:val="65AB2189"/>
    <w:rsid w:val="65B1360A"/>
    <w:rsid w:val="65B92716"/>
    <w:rsid w:val="65BC6E17"/>
    <w:rsid w:val="65BD3777"/>
    <w:rsid w:val="65BE5ECC"/>
    <w:rsid w:val="65C52F4F"/>
    <w:rsid w:val="65D64BB3"/>
    <w:rsid w:val="65D70270"/>
    <w:rsid w:val="65D83056"/>
    <w:rsid w:val="65DD3817"/>
    <w:rsid w:val="65DD3C89"/>
    <w:rsid w:val="65E673A2"/>
    <w:rsid w:val="65E91B08"/>
    <w:rsid w:val="65E96935"/>
    <w:rsid w:val="65F5725F"/>
    <w:rsid w:val="66032E7B"/>
    <w:rsid w:val="66053581"/>
    <w:rsid w:val="660800C6"/>
    <w:rsid w:val="660A19B0"/>
    <w:rsid w:val="661026AA"/>
    <w:rsid w:val="661635F6"/>
    <w:rsid w:val="661A0A57"/>
    <w:rsid w:val="661D3F49"/>
    <w:rsid w:val="661E3C31"/>
    <w:rsid w:val="66213A5C"/>
    <w:rsid w:val="6624683A"/>
    <w:rsid w:val="66291892"/>
    <w:rsid w:val="662D2EA4"/>
    <w:rsid w:val="6631571B"/>
    <w:rsid w:val="66390E6D"/>
    <w:rsid w:val="663D054E"/>
    <w:rsid w:val="66460692"/>
    <w:rsid w:val="6658158E"/>
    <w:rsid w:val="66631FDD"/>
    <w:rsid w:val="66636BB6"/>
    <w:rsid w:val="66727620"/>
    <w:rsid w:val="66763EED"/>
    <w:rsid w:val="66764E41"/>
    <w:rsid w:val="667930F9"/>
    <w:rsid w:val="6679372B"/>
    <w:rsid w:val="667B3C56"/>
    <w:rsid w:val="66833429"/>
    <w:rsid w:val="66864B72"/>
    <w:rsid w:val="66953491"/>
    <w:rsid w:val="66964763"/>
    <w:rsid w:val="66980BF6"/>
    <w:rsid w:val="669C5B8D"/>
    <w:rsid w:val="66A3696F"/>
    <w:rsid w:val="66A56CDB"/>
    <w:rsid w:val="66A6545D"/>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1CF4"/>
    <w:rsid w:val="66F76034"/>
    <w:rsid w:val="66FA0E71"/>
    <w:rsid w:val="67034E6A"/>
    <w:rsid w:val="67043C51"/>
    <w:rsid w:val="67066C06"/>
    <w:rsid w:val="670A207E"/>
    <w:rsid w:val="670E7B80"/>
    <w:rsid w:val="6713591F"/>
    <w:rsid w:val="67181932"/>
    <w:rsid w:val="67230E23"/>
    <w:rsid w:val="6726232E"/>
    <w:rsid w:val="672A4901"/>
    <w:rsid w:val="67331724"/>
    <w:rsid w:val="673360E2"/>
    <w:rsid w:val="67346319"/>
    <w:rsid w:val="673575D6"/>
    <w:rsid w:val="673D1F85"/>
    <w:rsid w:val="67441B08"/>
    <w:rsid w:val="674E2802"/>
    <w:rsid w:val="674E3950"/>
    <w:rsid w:val="674F6E76"/>
    <w:rsid w:val="67513E69"/>
    <w:rsid w:val="675A17FE"/>
    <w:rsid w:val="67617AF0"/>
    <w:rsid w:val="6768655A"/>
    <w:rsid w:val="676E1585"/>
    <w:rsid w:val="677157D9"/>
    <w:rsid w:val="67775952"/>
    <w:rsid w:val="677C0BC4"/>
    <w:rsid w:val="677C662E"/>
    <w:rsid w:val="677E2FA1"/>
    <w:rsid w:val="67813676"/>
    <w:rsid w:val="678179DF"/>
    <w:rsid w:val="67834615"/>
    <w:rsid w:val="67836FB1"/>
    <w:rsid w:val="678A12A7"/>
    <w:rsid w:val="678A44B2"/>
    <w:rsid w:val="678C1D52"/>
    <w:rsid w:val="678D19D7"/>
    <w:rsid w:val="679301AA"/>
    <w:rsid w:val="67973403"/>
    <w:rsid w:val="67A67078"/>
    <w:rsid w:val="67AC341B"/>
    <w:rsid w:val="67AE1D2D"/>
    <w:rsid w:val="67B10069"/>
    <w:rsid w:val="67B42C3D"/>
    <w:rsid w:val="67B861F9"/>
    <w:rsid w:val="67C02108"/>
    <w:rsid w:val="67C149C0"/>
    <w:rsid w:val="67C7427D"/>
    <w:rsid w:val="67CA7967"/>
    <w:rsid w:val="67CC38C5"/>
    <w:rsid w:val="67D45C53"/>
    <w:rsid w:val="67D65C3F"/>
    <w:rsid w:val="67D9695E"/>
    <w:rsid w:val="67DC5CEA"/>
    <w:rsid w:val="67DF18A0"/>
    <w:rsid w:val="67E024C8"/>
    <w:rsid w:val="67E301BB"/>
    <w:rsid w:val="67F00C5C"/>
    <w:rsid w:val="67F5522D"/>
    <w:rsid w:val="67F73BC6"/>
    <w:rsid w:val="680965F8"/>
    <w:rsid w:val="680E4ECF"/>
    <w:rsid w:val="6811066C"/>
    <w:rsid w:val="68127886"/>
    <w:rsid w:val="68135F70"/>
    <w:rsid w:val="681778E7"/>
    <w:rsid w:val="681B5BF4"/>
    <w:rsid w:val="68240EAA"/>
    <w:rsid w:val="6825323C"/>
    <w:rsid w:val="682627CE"/>
    <w:rsid w:val="68353B39"/>
    <w:rsid w:val="68355216"/>
    <w:rsid w:val="68356624"/>
    <w:rsid w:val="683950B1"/>
    <w:rsid w:val="683C5650"/>
    <w:rsid w:val="683D75A2"/>
    <w:rsid w:val="683F63B6"/>
    <w:rsid w:val="68436C4F"/>
    <w:rsid w:val="68451270"/>
    <w:rsid w:val="684F1282"/>
    <w:rsid w:val="6850356A"/>
    <w:rsid w:val="68534001"/>
    <w:rsid w:val="685465AC"/>
    <w:rsid w:val="68650339"/>
    <w:rsid w:val="68670AE1"/>
    <w:rsid w:val="68733F18"/>
    <w:rsid w:val="687421B8"/>
    <w:rsid w:val="687442EE"/>
    <w:rsid w:val="68772A56"/>
    <w:rsid w:val="687E1768"/>
    <w:rsid w:val="687F3024"/>
    <w:rsid w:val="688023F5"/>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CB219D"/>
    <w:rsid w:val="68D70915"/>
    <w:rsid w:val="68D977F7"/>
    <w:rsid w:val="68DD619B"/>
    <w:rsid w:val="68E91847"/>
    <w:rsid w:val="68EC3A15"/>
    <w:rsid w:val="68ED69A7"/>
    <w:rsid w:val="68F25678"/>
    <w:rsid w:val="68FD2847"/>
    <w:rsid w:val="68FD5593"/>
    <w:rsid w:val="69073414"/>
    <w:rsid w:val="690C4501"/>
    <w:rsid w:val="690D682A"/>
    <w:rsid w:val="690E0B69"/>
    <w:rsid w:val="6911326A"/>
    <w:rsid w:val="6913336C"/>
    <w:rsid w:val="69183F42"/>
    <w:rsid w:val="691B307E"/>
    <w:rsid w:val="691D4548"/>
    <w:rsid w:val="69211CF9"/>
    <w:rsid w:val="692B3BF3"/>
    <w:rsid w:val="692F1256"/>
    <w:rsid w:val="69301A1D"/>
    <w:rsid w:val="69301CB0"/>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8A08DB"/>
    <w:rsid w:val="69964347"/>
    <w:rsid w:val="699D6173"/>
    <w:rsid w:val="69A36988"/>
    <w:rsid w:val="69A71B52"/>
    <w:rsid w:val="69A7770D"/>
    <w:rsid w:val="69A966F8"/>
    <w:rsid w:val="69AC0B64"/>
    <w:rsid w:val="69B2478E"/>
    <w:rsid w:val="69B27491"/>
    <w:rsid w:val="69B27C94"/>
    <w:rsid w:val="69B35D48"/>
    <w:rsid w:val="69BA2288"/>
    <w:rsid w:val="69BB7CE2"/>
    <w:rsid w:val="69BC4A7C"/>
    <w:rsid w:val="69D2134C"/>
    <w:rsid w:val="69D430FB"/>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93D10"/>
    <w:rsid w:val="6A015070"/>
    <w:rsid w:val="6A036F5F"/>
    <w:rsid w:val="6A0A14CC"/>
    <w:rsid w:val="6A0F46FE"/>
    <w:rsid w:val="6A1068F6"/>
    <w:rsid w:val="6A12415B"/>
    <w:rsid w:val="6A152CC8"/>
    <w:rsid w:val="6A172663"/>
    <w:rsid w:val="6A18758D"/>
    <w:rsid w:val="6A1C2AFB"/>
    <w:rsid w:val="6A1D05D4"/>
    <w:rsid w:val="6A236DA0"/>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624F12"/>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909C1"/>
    <w:rsid w:val="6AAF2259"/>
    <w:rsid w:val="6AB45A03"/>
    <w:rsid w:val="6ABE4FFD"/>
    <w:rsid w:val="6AC06871"/>
    <w:rsid w:val="6AC353DF"/>
    <w:rsid w:val="6AD909E0"/>
    <w:rsid w:val="6AD93919"/>
    <w:rsid w:val="6ADA6524"/>
    <w:rsid w:val="6ADB0E26"/>
    <w:rsid w:val="6ADC49EF"/>
    <w:rsid w:val="6ADD4FD8"/>
    <w:rsid w:val="6ADD71F3"/>
    <w:rsid w:val="6AE2562E"/>
    <w:rsid w:val="6AE26C27"/>
    <w:rsid w:val="6AEB5CC0"/>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449B8"/>
    <w:rsid w:val="6B263055"/>
    <w:rsid w:val="6B285741"/>
    <w:rsid w:val="6B2F5411"/>
    <w:rsid w:val="6B304C57"/>
    <w:rsid w:val="6B340EF1"/>
    <w:rsid w:val="6B343048"/>
    <w:rsid w:val="6B3C31BB"/>
    <w:rsid w:val="6B3D06AC"/>
    <w:rsid w:val="6B42739A"/>
    <w:rsid w:val="6B444BB7"/>
    <w:rsid w:val="6B447945"/>
    <w:rsid w:val="6B472052"/>
    <w:rsid w:val="6B4B2C3B"/>
    <w:rsid w:val="6B4C2FCC"/>
    <w:rsid w:val="6B4E4A00"/>
    <w:rsid w:val="6B4F3542"/>
    <w:rsid w:val="6B5278F5"/>
    <w:rsid w:val="6B5778E5"/>
    <w:rsid w:val="6B5A444E"/>
    <w:rsid w:val="6B5A64D2"/>
    <w:rsid w:val="6B5B0A52"/>
    <w:rsid w:val="6B5B7CD6"/>
    <w:rsid w:val="6B5D2504"/>
    <w:rsid w:val="6B6C560D"/>
    <w:rsid w:val="6B705E52"/>
    <w:rsid w:val="6B735BFD"/>
    <w:rsid w:val="6B771677"/>
    <w:rsid w:val="6B785D05"/>
    <w:rsid w:val="6B7C1DB9"/>
    <w:rsid w:val="6B7D36ED"/>
    <w:rsid w:val="6B7F7BD7"/>
    <w:rsid w:val="6B846AF2"/>
    <w:rsid w:val="6B95396B"/>
    <w:rsid w:val="6BA56753"/>
    <w:rsid w:val="6BA9721C"/>
    <w:rsid w:val="6BAC0EF7"/>
    <w:rsid w:val="6BB03DAF"/>
    <w:rsid w:val="6BB5492E"/>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25CAD"/>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16988"/>
    <w:rsid w:val="6C5C3FCE"/>
    <w:rsid w:val="6C5D04BB"/>
    <w:rsid w:val="6C620426"/>
    <w:rsid w:val="6C666C3C"/>
    <w:rsid w:val="6C6833E1"/>
    <w:rsid w:val="6C6C17DD"/>
    <w:rsid w:val="6C7270E2"/>
    <w:rsid w:val="6C762AC0"/>
    <w:rsid w:val="6C860AB9"/>
    <w:rsid w:val="6C86106D"/>
    <w:rsid w:val="6C8E4315"/>
    <w:rsid w:val="6C912908"/>
    <w:rsid w:val="6C95615F"/>
    <w:rsid w:val="6C99517F"/>
    <w:rsid w:val="6C9D3AD7"/>
    <w:rsid w:val="6CA767FB"/>
    <w:rsid w:val="6CA905B1"/>
    <w:rsid w:val="6CA94419"/>
    <w:rsid w:val="6CB242A2"/>
    <w:rsid w:val="6CC50B44"/>
    <w:rsid w:val="6CC818AD"/>
    <w:rsid w:val="6CCA5A19"/>
    <w:rsid w:val="6CD041C3"/>
    <w:rsid w:val="6CD17ABB"/>
    <w:rsid w:val="6CE0612A"/>
    <w:rsid w:val="6CE269D3"/>
    <w:rsid w:val="6CEC448A"/>
    <w:rsid w:val="6CED284E"/>
    <w:rsid w:val="6CED690F"/>
    <w:rsid w:val="6CF04EB7"/>
    <w:rsid w:val="6CF06A52"/>
    <w:rsid w:val="6CF17872"/>
    <w:rsid w:val="6CF76712"/>
    <w:rsid w:val="6CFD23D1"/>
    <w:rsid w:val="6D033EFD"/>
    <w:rsid w:val="6D0652BF"/>
    <w:rsid w:val="6D0654B4"/>
    <w:rsid w:val="6D0A7734"/>
    <w:rsid w:val="6D0B0E35"/>
    <w:rsid w:val="6D0D6D19"/>
    <w:rsid w:val="6D1D05E5"/>
    <w:rsid w:val="6D273B17"/>
    <w:rsid w:val="6D274676"/>
    <w:rsid w:val="6D2F4B50"/>
    <w:rsid w:val="6D30591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5740"/>
    <w:rsid w:val="6D9325E4"/>
    <w:rsid w:val="6D9C1C43"/>
    <w:rsid w:val="6D9D3EE4"/>
    <w:rsid w:val="6D9E7C69"/>
    <w:rsid w:val="6D9F1A98"/>
    <w:rsid w:val="6D9F75D7"/>
    <w:rsid w:val="6DA71839"/>
    <w:rsid w:val="6DA84071"/>
    <w:rsid w:val="6DAC216F"/>
    <w:rsid w:val="6DAF6288"/>
    <w:rsid w:val="6DB20233"/>
    <w:rsid w:val="6DB81D13"/>
    <w:rsid w:val="6DC54D30"/>
    <w:rsid w:val="6DC65806"/>
    <w:rsid w:val="6DD17166"/>
    <w:rsid w:val="6DD404A8"/>
    <w:rsid w:val="6DDB29CF"/>
    <w:rsid w:val="6DDF0294"/>
    <w:rsid w:val="6DE9618F"/>
    <w:rsid w:val="6DED02CD"/>
    <w:rsid w:val="6DF07F1A"/>
    <w:rsid w:val="6DF5180F"/>
    <w:rsid w:val="6DF6740D"/>
    <w:rsid w:val="6DF918E2"/>
    <w:rsid w:val="6DF92BCB"/>
    <w:rsid w:val="6DFB06CC"/>
    <w:rsid w:val="6DFF15E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3FF1"/>
    <w:rsid w:val="6E376A3A"/>
    <w:rsid w:val="6E3E181B"/>
    <w:rsid w:val="6E3F1C0F"/>
    <w:rsid w:val="6E450A74"/>
    <w:rsid w:val="6E484191"/>
    <w:rsid w:val="6E4E0EC4"/>
    <w:rsid w:val="6E561494"/>
    <w:rsid w:val="6E567CD0"/>
    <w:rsid w:val="6E5E1B0E"/>
    <w:rsid w:val="6E6173DF"/>
    <w:rsid w:val="6E633CB5"/>
    <w:rsid w:val="6E65695B"/>
    <w:rsid w:val="6E6B2458"/>
    <w:rsid w:val="6E6B444D"/>
    <w:rsid w:val="6E7106EF"/>
    <w:rsid w:val="6E72570E"/>
    <w:rsid w:val="6E76108B"/>
    <w:rsid w:val="6E775479"/>
    <w:rsid w:val="6E785A45"/>
    <w:rsid w:val="6E796FC0"/>
    <w:rsid w:val="6E8562CB"/>
    <w:rsid w:val="6E917497"/>
    <w:rsid w:val="6E941BFE"/>
    <w:rsid w:val="6EA13305"/>
    <w:rsid w:val="6EAB29FB"/>
    <w:rsid w:val="6EB054D7"/>
    <w:rsid w:val="6EB32B7F"/>
    <w:rsid w:val="6EB46F18"/>
    <w:rsid w:val="6EB63507"/>
    <w:rsid w:val="6EBD4DFF"/>
    <w:rsid w:val="6EC23093"/>
    <w:rsid w:val="6EC23231"/>
    <w:rsid w:val="6EC310A5"/>
    <w:rsid w:val="6EC43237"/>
    <w:rsid w:val="6EC73357"/>
    <w:rsid w:val="6EC737C7"/>
    <w:rsid w:val="6ECB3DA6"/>
    <w:rsid w:val="6ED163C0"/>
    <w:rsid w:val="6ED266F7"/>
    <w:rsid w:val="6ED50451"/>
    <w:rsid w:val="6EDE4824"/>
    <w:rsid w:val="6EE939F2"/>
    <w:rsid w:val="6EEC7427"/>
    <w:rsid w:val="6EF27D2E"/>
    <w:rsid w:val="6EF27E6D"/>
    <w:rsid w:val="6EF56CE0"/>
    <w:rsid w:val="6EF81C54"/>
    <w:rsid w:val="6EFA3930"/>
    <w:rsid w:val="6F016749"/>
    <w:rsid w:val="6F021829"/>
    <w:rsid w:val="6F037229"/>
    <w:rsid w:val="6F08724A"/>
    <w:rsid w:val="6F0B25BF"/>
    <w:rsid w:val="6F0F6C4E"/>
    <w:rsid w:val="6F14289F"/>
    <w:rsid w:val="6F150DA4"/>
    <w:rsid w:val="6F162C84"/>
    <w:rsid w:val="6F1864F4"/>
    <w:rsid w:val="6F1A5DBF"/>
    <w:rsid w:val="6F28474F"/>
    <w:rsid w:val="6F2C3F0F"/>
    <w:rsid w:val="6F350882"/>
    <w:rsid w:val="6F35635E"/>
    <w:rsid w:val="6F3713E9"/>
    <w:rsid w:val="6F38272A"/>
    <w:rsid w:val="6F384951"/>
    <w:rsid w:val="6F4876AF"/>
    <w:rsid w:val="6F4B6D13"/>
    <w:rsid w:val="6F537FC0"/>
    <w:rsid w:val="6F607895"/>
    <w:rsid w:val="6F61040C"/>
    <w:rsid w:val="6F6229F1"/>
    <w:rsid w:val="6F671B7F"/>
    <w:rsid w:val="6F6776E1"/>
    <w:rsid w:val="6F6F1DC2"/>
    <w:rsid w:val="6F702CF5"/>
    <w:rsid w:val="6F75445D"/>
    <w:rsid w:val="6F7A0C79"/>
    <w:rsid w:val="6F7E1B78"/>
    <w:rsid w:val="6F823859"/>
    <w:rsid w:val="6F864D62"/>
    <w:rsid w:val="6F9C24E2"/>
    <w:rsid w:val="6F9C5D71"/>
    <w:rsid w:val="6FA3781E"/>
    <w:rsid w:val="6FAB10E5"/>
    <w:rsid w:val="6FAC61CF"/>
    <w:rsid w:val="6FAF5C06"/>
    <w:rsid w:val="6FB32C37"/>
    <w:rsid w:val="6FB415FB"/>
    <w:rsid w:val="6FB72FB2"/>
    <w:rsid w:val="6FB80EE8"/>
    <w:rsid w:val="6FBA411C"/>
    <w:rsid w:val="6FC0781E"/>
    <w:rsid w:val="6FC7485A"/>
    <w:rsid w:val="6FD36624"/>
    <w:rsid w:val="6FDC3DC0"/>
    <w:rsid w:val="6FE52BEF"/>
    <w:rsid w:val="6FE53444"/>
    <w:rsid w:val="6FE76FE3"/>
    <w:rsid w:val="6FEA3134"/>
    <w:rsid w:val="6FF1528E"/>
    <w:rsid w:val="6FF535B6"/>
    <w:rsid w:val="6FF561D1"/>
    <w:rsid w:val="6FFF1444"/>
    <w:rsid w:val="7004298B"/>
    <w:rsid w:val="700B1837"/>
    <w:rsid w:val="700C0460"/>
    <w:rsid w:val="700E4152"/>
    <w:rsid w:val="700E5AA8"/>
    <w:rsid w:val="700F2A74"/>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8A5A50"/>
    <w:rsid w:val="70910C43"/>
    <w:rsid w:val="7093482E"/>
    <w:rsid w:val="70950E89"/>
    <w:rsid w:val="70982797"/>
    <w:rsid w:val="70992BBC"/>
    <w:rsid w:val="709A7F30"/>
    <w:rsid w:val="709E4E34"/>
    <w:rsid w:val="709E640C"/>
    <w:rsid w:val="70A106DA"/>
    <w:rsid w:val="70A156F4"/>
    <w:rsid w:val="70A22252"/>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11176"/>
    <w:rsid w:val="70E47264"/>
    <w:rsid w:val="70EA3C35"/>
    <w:rsid w:val="70F04773"/>
    <w:rsid w:val="70F133EA"/>
    <w:rsid w:val="70F343A0"/>
    <w:rsid w:val="71001D6C"/>
    <w:rsid w:val="71020917"/>
    <w:rsid w:val="710524E2"/>
    <w:rsid w:val="71072866"/>
    <w:rsid w:val="710B03C6"/>
    <w:rsid w:val="711604AB"/>
    <w:rsid w:val="7124203D"/>
    <w:rsid w:val="71260307"/>
    <w:rsid w:val="712762EB"/>
    <w:rsid w:val="712A70A2"/>
    <w:rsid w:val="712D2ADB"/>
    <w:rsid w:val="712D4159"/>
    <w:rsid w:val="712E5854"/>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739E8"/>
    <w:rsid w:val="71890883"/>
    <w:rsid w:val="718B3A9F"/>
    <w:rsid w:val="718C5218"/>
    <w:rsid w:val="718F5A2E"/>
    <w:rsid w:val="71936186"/>
    <w:rsid w:val="719546A7"/>
    <w:rsid w:val="71A11033"/>
    <w:rsid w:val="71A535F8"/>
    <w:rsid w:val="71AE2BD5"/>
    <w:rsid w:val="71AF2F66"/>
    <w:rsid w:val="71AF43CE"/>
    <w:rsid w:val="71B1188F"/>
    <w:rsid w:val="71B31BCF"/>
    <w:rsid w:val="71C061A0"/>
    <w:rsid w:val="71C2301C"/>
    <w:rsid w:val="71C45E90"/>
    <w:rsid w:val="71C87B2A"/>
    <w:rsid w:val="71C96C07"/>
    <w:rsid w:val="71CD28DD"/>
    <w:rsid w:val="71D00811"/>
    <w:rsid w:val="71D774C5"/>
    <w:rsid w:val="71D8692F"/>
    <w:rsid w:val="71D877C8"/>
    <w:rsid w:val="71D92BE3"/>
    <w:rsid w:val="71DA7C5F"/>
    <w:rsid w:val="71DE4C74"/>
    <w:rsid w:val="71E3397B"/>
    <w:rsid w:val="71E346E4"/>
    <w:rsid w:val="71E56A62"/>
    <w:rsid w:val="71E767FC"/>
    <w:rsid w:val="71E81924"/>
    <w:rsid w:val="71EF5D41"/>
    <w:rsid w:val="71F2606E"/>
    <w:rsid w:val="71F31330"/>
    <w:rsid w:val="71F413CA"/>
    <w:rsid w:val="71F66C0D"/>
    <w:rsid w:val="71FA4667"/>
    <w:rsid w:val="71FC70DF"/>
    <w:rsid w:val="72056436"/>
    <w:rsid w:val="72084604"/>
    <w:rsid w:val="72085849"/>
    <w:rsid w:val="720979A0"/>
    <w:rsid w:val="720F2D98"/>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55631F"/>
    <w:rsid w:val="72632A3F"/>
    <w:rsid w:val="72656B6C"/>
    <w:rsid w:val="72673EE2"/>
    <w:rsid w:val="72726288"/>
    <w:rsid w:val="727334E4"/>
    <w:rsid w:val="72756082"/>
    <w:rsid w:val="72772DDB"/>
    <w:rsid w:val="727B2E39"/>
    <w:rsid w:val="72827328"/>
    <w:rsid w:val="72891348"/>
    <w:rsid w:val="728B2CA4"/>
    <w:rsid w:val="728B509F"/>
    <w:rsid w:val="728F0A31"/>
    <w:rsid w:val="729A297B"/>
    <w:rsid w:val="72A021F5"/>
    <w:rsid w:val="72A310CE"/>
    <w:rsid w:val="72A60BAC"/>
    <w:rsid w:val="72B23B41"/>
    <w:rsid w:val="72B751B8"/>
    <w:rsid w:val="72BC7B1D"/>
    <w:rsid w:val="72C21061"/>
    <w:rsid w:val="72CD7CE8"/>
    <w:rsid w:val="72CE3184"/>
    <w:rsid w:val="72CE7D06"/>
    <w:rsid w:val="72CF40C2"/>
    <w:rsid w:val="72D420F7"/>
    <w:rsid w:val="72D456A5"/>
    <w:rsid w:val="72E70D52"/>
    <w:rsid w:val="72EA6B66"/>
    <w:rsid w:val="72F44F1E"/>
    <w:rsid w:val="72FB32E0"/>
    <w:rsid w:val="72FB39EE"/>
    <w:rsid w:val="7302733B"/>
    <w:rsid w:val="73036270"/>
    <w:rsid w:val="73086E2D"/>
    <w:rsid w:val="731649D2"/>
    <w:rsid w:val="731C28E7"/>
    <w:rsid w:val="73247EDB"/>
    <w:rsid w:val="7326097A"/>
    <w:rsid w:val="73283333"/>
    <w:rsid w:val="732A4A9B"/>
    <w:rsid w:val="733202B6"/>
    <w:rsid w:val="73343997"/>
    <w:rsid w:val="7335672A"/>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14AA3"/>
    <w:rsid w:val="73871FC7"/>
    <w:rsid w:val="73893467"/>
    <w:rsid w:val="738A36E1"/>
    <w:rsid w:val="73912A81"/>
    <w:rsid w:val="739264C9"/>
    <w:rsid w:val="73970334"/>
    <w:rsid w:val="7397374A"/>
    <w:rsid w:val="73976D99"/>
    <w:rsid w:val="739B1EFF"/>
    <w:rsid w:val="73A0798D"/>
    <w:rsid w:val="73A16D22"/>
    <w:rsid w:val="73A6161E"/>
    <w:rsid w:val="73B1400F"/>
    <w:rsid w:val="73B7366A"/>
    <w:rsid w:val="73BA064C"/>
    <w:rsid w:val="73BB3C6E"/>
    <w:rsid w:val="73BE40A4"/>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A3BCB"/>
    <w:rsid w:val="74215D04"/>
    <w:rsid w:val="74240C28"/>
    <w:rsid w:val="74257C35"/>
    <w:rsid w:val="74297126"/>
    <w:rsid w:val="742A0965"/>
    <w:rsid w:val="742D019C"/>
    <w:rsid w:val="742D6DB6"/>
    <w:rsid w:val="742E74D7"/>
    <w:rsid w:val="744642D9"/>
    <w:rsid w:val="744703F4"/>
    <w:rsid w:val="744E1913"/>
    <w:rsid w:val="74522D94"/>
    <w:rsid w:val="745A0FE7"/>
    <w:rsid w:val="745C541E"/>
    <w:rsid w:val="746B086B"/>
    <w:rsid w:val="746C430C"/>
    <w:rsid w:val="74773CF8"/>
    <w:rsid w:val="74775754"/>
    <w:rsid w:val="747D27FB"/>
    <w:rsid w:val="748D4649"/>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C0979"/>
    <w:rsid w:val="74DD08A1"/>
    <w:rsid w:val="74E11F86"/>
    <w:rsid w:val="74E751EA"/>
    <w:rsid w:val="74E84AC9"/>
    <w:rsid w:val="74EB34EA"/>
    <w:rsid w:val="74EC511C"/>
    <w:rsid w:val="74FB509B"/>
    <w:rsid w:val="74FB6035"/>
    <w:rsid w:val="7502618E"/>
    <w:rsid w:val="750934A8"/>
    <w:rsid w:val="750A15E4"/>
    <w:rsid w:val="750C76FA"/>
    <w:rsid w:val="751A5DB6"/>
    <w:rsid w:val="751B7132"/>
    <w:rsid w:val="7523679B"/>
    <w:rsid w:val="752B3381"/>
    <w:rsid w:val="752E435C"/>
    <w:rsid w:val="75325694"/>
    <w:rsid w:val="75355B9C"/>
    <w:rsid w:val="75376E15"/>
    <w:rsid w:val="753B454F"/>
    <w:rsid w:val="753F7504"/>
    <w:rsid w:val="75441B17"/>
    <w:rsid w:val="75457EFF"/>
    <w:rsid w:val="7550497B"/>
    <w:rsid w:val="7554481F"/>
    <w:rsid w:val="7557681E"/>
    <w:rsid w:val="75594581"/>
    <w:rsid w:val="755A5494"/>
    <w:rsid w:val="75625A16"/>
    <w:rsid w:val="7564200E"/>
    <w:rsid w:val="75663FD1"/>
    <w:rsid w:val="7574205C"/>
    <w:rsid w:val="757540E3"/>
    <w:rsid w:val="757875B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5D2"/>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6A38B4"/>
    <w:rsid w:val="76705E50"/>
    <w:rsid w:val="767469E2"/>
    <w:rsid w:val="76775F0B"/>
    <w:rsid w:val="76797D6E"/>
    <w:rsid w:val="767C4FAD"/>
    <w:rsid w:val="767E2DAC"/>
    <w:rsid w:val="76830235"/>
    <w:rsid w:val="76894819"/>
    <w:rsid w:val="768D57E3"/>
    <w:rsid w:val="76932317"/>
    <w:rsid w:val="769D26B2"/>
    <w:rsid w:val="76A53B61"/>
    <w:rsid w:val="76A56898"/>
    <w:rsid w:val="76B153BA"/>
    <w:rsid w:val="76B96D52"/>
    <w:rsid w:val="76BE7B18"/>
    <w:rsid w:val="76C27D48"/>
    <w:rsid w:val="76C37710"/>
    <w:rsid w:val="76C72CA0"/>
    <w:rsid w:val="76CC717E"/>
    <w:rsid w:val="76DD11E0"/>
    <w:rsid w:val="76E64051"/>
    <w:rsid w:val="76E83F53"/>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90C6C"/>
    <w:rsid w:val="774B3934"/>
    <w:rsid w:val="774D47BD"/>
    <w:rsid w:val="77551F00"/>
    <w:rsid w:val="77582BB9"/>
    <w:rsid w:val="775A1A2A"/>
    <w:rsid w:val="77650E66"/>
    <w:rsid w:val="77684818"/>
    <w:rsid w:val="776A53C0"/>
    <w:rsid w:val="77721E49"/>
    <w:rsid w:val="777A6706"/>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236A5"/>
    <w:rsid w:val="78036043"/>
    <w:rsid w:val="780536D7"/>
    <w:rsid w:val="7813374F"/>
    <w:rsid w:val="78135A40"/>
    <w:rsid w:val="781838FF"/>
    <w:rsid w:val="781B3886"/>
    <w:rsid w:val="781F688B"/>
    <w:rsid w:val="78306028"/>
    <w:rsid w:val="78316382"/>
    <w:rsid w:val="78355626"/>
    <w:rsid w:val="78373F78"/>
    <w:rsid w:val="78375EBD"/>
    <w:rsid w:val="783C25B8"/>
    <w:rsid w:val="783D4821"/>
    <w:rsid w:val="784151EC"/>
    <w:rsid w:val="784563AF"/>
    <w:rsid w:val="7847313C"/>
    <w:rsid w:val="7849196F"/>
    <w:rsid w:val="78546F46"/>
    <w:rsid w:val="78591903"/>
    <w:rsid w:val="78660A0A"/>
    <w:rsid w:val="786C4381"/>
    <w:rsid w:val="78714C2F"/>
    <w:rsid w:val="787659AD"/>
    <w:rsid w:val="78836D37"/>
    <w:rsid w:val="788572E1"/>
    <w:rsid w:val="7888219B"/>
    <w:rsid w:val="78887070"/>
    <w:rsid w:val="788908C8"/>
    <w:rsid w:val="7889395E"/>
    <w:rsid w:val="78993306"/>
    <w:rsid w:val="789F1B1C"/>
    <w:rsid w:val="78A35B55"/>
    <w:rsid w:val="78A561F3"/>
    <w:rsid w:val="78AB3452"/>
    <w:rsid w:val="78AF088E"/>
    <w:rsid w:val="78B0117B"/>
    <w:rsid w:val="78B478AA"/>
    <w:rsid w:val="78B5516C"/>
    <w:rsid w:val="78B66216"/>
    <w:rsid w:val="78B833C9"/>
    <w:rsid w:val="78B83F93"/>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82E56"/>
    <w:rsid w:val="78FB0E9B"/>
    <w:rsid w:val="78FC7FC2"/>
    <w:rsid w:val="79042DE3"/>
    <w:rsid w:val="790A279B"/>
    <w:rsid w:val="790D0BF3"/>
    <w:rsid w:val="790D4F70"/>
    <w:rsid w:val="791474A8"/>
    <w:rsid w:val="79176206"/>
    <w:rsid w:val="79193B81"/>
    <w:rsid w:val="791C0BB0"/>
    <w:rsid w:val="791C7612"/>
    <w:rsid w:val="792061E8"/>
    <w:rsid w:val="79213934"/>
    <w:rsid w:val="79221399"/>
    <w:rsid w:val="79263FC2"/>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5067"/>
    <w:rsid w:val="79762768"/>
    <w:rsid w:val="797951A9"/>
    <w:rsid w:val="79877339"/>
    <w:rsid w:val="798928E4"/>
    <w:rsid w:val="7990174F"/>
    <w:rsid w:val="799C4F43"/>
    <w:rsid w:val="79A15149"/>
    <w:rsid w:val="79A37CCA"/>
    <w:rsid w:val="79A71C2E"/>
    <w:rsid w:val="79A74BCA"/>
    <w:rsid w:val="79AE39E9"/>
    <w:rsid w:val="79B57356"/>
    <w:rsid w:val="79B622DB"/>
    <w:rsid w:val="79B862E2"/>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854C7"/>
    <w:rsid w:val="79FA649A"/>
    <w:rsid w:val="79FB2D0B"/>
    <w:rsid w:val="79FD3C4F"/>
    <w:rsid w:val="7A052E17"/>
    <w:rsid w:val="7A097B67"/>
    <w:rsid w:val="7A0F1525"/>
    <w:rsid w:val="7A157806"/>
    <w:rsid w:val="7A217949"/>
    <w:rsid w:val="7A24740A"/>
    <w:rsid w:val="7A262C2D"/>
    <w:rsid w:val="7A267565"/>
    <w:rsid w:val="7A291938"/>
    <w:rsid w:val="7A346390"/>
    <w:rsid w:val="7A3D7CC0"/>
    <w:rsid w:val="7A4006D3"/>
    <w:rsid w:val="7A484360"/>
    <w:rsid w:val="7A4B6CB8"/>
    <w:rsid w:val="7A4D07BA"/>
    <w:rsid w:val="7A4E1D22"/>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BF55DA"/>
    <w:rsid w:val="7ACA29DF"/>
    <w:rsid w:val="7ACD2D7F"/>
    <w:rsid w:val="7AD27B42"/>
    <w:rsid w:val="7AD53EC1"/>
    <w:rsid w:val="7AD84E14"/>
    <w:rsid w:val="7ADB474B"/>
    <w:rsid w:val="7ADB7F1A"/>
    <w:rsid w:val="7AE55787"/>
    <w:rsid w:val="7AF91DAF"/>
    <w:rsid w:val="7AF9607E"/>
    <w:rsid w:val="7B025C0C"/>
    <w:rsid w:val="7B18546A"/>
    <w:rsid w:val="7B1B467F"/>
    <w:rsid w:val="7B1F59AA"/>
    <w:rsid w:val="7B211436"/>
    <w:rsid w:val="7B214978"/>
    <w:rsid w:val="7B343216"/>
    <w:rsid w:val="7B345398"/>
    <w:rsid w:val="7B391012"/>
    <w:rsid w:val="7B412640"/>
    <w:rsid w:val="7B457ABF"/>
    <w:rsid w:val="7B4A5781"/>
    <w:rsid w:val="7B4E09BF"/>
    <w:rsid w:val="7B511817"/>
    <w:rsid w:val="7B583A6A"/>
    <w:rsid w:val="7B603C7C"/>
    <w:rsid w:val="7B65590F"/>
    <w:rsid w:val="7B6C1EA7"/>
    <w:rsid w:val="7B6E2AB1"/>
    <w:rsid w:val="7B771CED"/>
    <w:rsid w:val="7B7827FE"/>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74723"/>
    <w:rsid w:val="7BBE5318"/>
    <w:rsid w:val="7BBF126E"/>
    <w:rsid w:val="7BBF1D8A"/>
    <w:rsid w:val="7BC136C5"/>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B3E08"/>
    <w:rsid w:val="7C206952"/>
    <w:rsid w:val="7C2D1C60"/>
    <w:rsid w:val="7C33257F"/>
    <w:rsid w:val="7C3832F5"/>
    <w:rsid w:val="7C3D6253"/>
    <w:rsid w:val="7C42281E"/>
    <w:rsid w:val="7C446975"/>
    <w:rsid w:val="7C4D1F41"/>
    <w:rsid w:val="7C4F167F"/>
    <w:rsid w:val="7C610C91"/>
    <w:rsid w:val="7C613AEC"/>
    <w:rsid w:val="7C630725"/>
    <w:rsid w:val="7C642518"/>
    <w:rsid w:val="7C6E7E2C"/>
    <w:rsid w:val="7C7174D7"/>
    <w:rsid w:val="7C734075"/>
    <w:rsid w:val="7C74719E"/>
    <w:rsid w:val="7C773CA6"/>
    <w:rsid w:val="7C7A5C19"/>
    <w:rsid w:val="7C815D2A"/>
    <w:rsid w:val="7C830C8C"/>
    <w:rsid w:val="7C831756"/>
    <w:rsid w:val="7C8C4CAB"/>
    <w:rsid w:val="7C982736"/>
    <w:rsid w:val="7C9A2FA3"/>
    <w:rsid w:val="7C9E5A24"/>
    <w:rsid w:val="7CA3583F"/>
    <w:rsid w:val="7CA67728"/>
    <w:rsid w:val="7CAB79B6"/>
    <w:rsid w:val="7CB62523"/>
    <w:rsid w:val="7CCA5583"/>
    <w:rsid w:val="7CD30479"/>
    <w:rsid w:val="7CD538C0"/>
    <w:rsid w:val="7CD72F9B"/>
    <w:rsid w:val="7CD833F2"/>
    <w:rsid w:val="7CE008B1"/>
    <w:rsid w:val="7CE146B6"/>
    <w:rsid w:val="7CE65C11"/>
    <w:rsid w:val="7CE70935"/>
    <w:rsid w:val="7CF074F0"/>
    <w:rsid w:val="7CF84A31"/>
    <w:rsid w:val="7CF9049C"/>
    <w:rsid w:val="7CFC44C2"/>
    <w:rsid w:val="7CFC4575"/>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D274D"/>
    <w:rsid w:val="7D4E195B"/>
    <w:rsid w:val="7D515EFA"/>
    <w:rsid w:val="7D6351A3"/>
    <w:rsid w:val="7D635C6D"/>
    <w:rsid w:val="7D64087E"/>
    <w:rsid w:val="7D69117D"/>
    <w:rsid w:val="7D6944E2"/>
    <w:rsid w:val="7D696CB2"/>
    <w:rsid w:val="7D6E32F7"/>
    <w:rsid w:val="7D7A555A"/>
    <w:rsid w:val="7D7F5298"/>
    <w:rsid w:val="7D8362BA"/>
    <w:rsid w:val="7D851FCC"/>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911E9"/>
    <w:rsid w:val="7DEA2178"/>
    <w:rsid w:val="7DEB2C44"/>
    <w:rsid w:val="7DF1013E"/>
    <w:rsid w:val="7DF24287"/>
    <w:rsid w:val="7DF464FC"/>
    <w:rsid w:val="7DF50CBA"/>
    <w:rsid w:val="7DF97355"/>
    <w:rsid w:val="7DFE63E1"/>
    <w:rsid w:val="7E006A11"/>
    <w:rsid w:val="7E135849"/>
    <w:rsid w:val="7E1C55F3"/>
    <w:rsid w:val="7E1E12CF"/>
    <w:rsid w:val="7E202566"/>
    <w:rsid w:val="7E220DEC"/>
    <w:rsid w:val="7E222965"/>
    <w:rsid w:val="7E2309DE"/>
    <w:rsid w:val="7E235930"/>
    <w:rsid w:val="7E2E7D3F"/>
    <w:rsid w:val="7E330B2F"/>
    <w:rsid w:val="7E347694"/>
    <w:rsid w:val="7E3B2893"/>
    <w:rsid w:val="7E3B5911"/>
    <w:rsid w:val="7E3F0FF1"/>
    <w:rsid w:val="7E4153CB"/>
    <w:rsid w:val="7E495416"/>
    <w:rsid w:val="7E497873"/>
    <w:rsid w:val="7E4D1860"/>
    <w:rsid w:val="7E570488"/>
    <w:rsid w:val="7E573082"/>
    <w:rsid w:val="7E593C4C"/>
    <w:rsid w:val="7E6102F0"/>
    <w:rsid w:val="7E640D72"/>
    <w:rsid w:val="7E665F17"/>
    <w:rsid w:val="7E6F3CE6"/>
    <w:rsid w:val="7E712668"/>
    <w:rsid w:val="7E712F31"/>
    <w:rsid w:val="7E750E81"/>
    <w:rsid w:val="7E760C9A"/>
    <w:rsid w:val="7E761EFC"/>
    <w:rsid w:val="7E807C69"/>
    <w:rsid w:val="7E8678EA"/>
    <w:rsid w:val="7E87741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CB1484"/>
    <w:rsid w:val="7ED03351"/>
    <w:rsid w:val="7ED043AE"/>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47688"/>
    <w:rsid w:val="7F4A17F6"/>
    <w:rsid w:val="7F536DE1"/>
    <w:rsid w:val="7F554238"/>
    <w:rsid w:val="7F5B73EC"/>
    <w:rsid w:val="7F6339F7"/>
    <w:rsid w:val="7F7F40DB"/>
    <w:rsid w:val="7F861D35"/>
    <w:rsid w:val="7F8660CD"/>
    <w:rsid w:val="7F8A2E2C"/>
    <w:rsid w:val="7F963419"/>
    <w:rsid w:val="7FA069EC"/>
    <w:rsid w:val="7FC40702"/>
    <w:rsid w:val="7FC45E32"/>
    <w:rsid w:val="7FCB22CF"/>
    <w:rsid w:val="7FCB46F5"/>
    <w:rsid w:val="7FCC1317"/>
    <w:rsid w:val="7FD25613"/>
    <w:rsid w:val="7FD277AE"/>
    <w:rsid w:val="7FD307E8"/>
    <w:rsid w:val="7FD30ECE"/>
    <w:rsid w:val="7FD4356A"/>
    <w:rsid w:val="7FD67AE1"/>
    <w:rsid w:val="7FDA2CD0"/>
    <w:rsid w:val="7FDB769F"/>
    <w:rsid w:val="7FDE15FE"/>
    <w:rsid w:val="7FE05127"/>
    <w:rsid w:val="7FEC4EDA"/>
    <w:rsid w:val="7FEC7AE0"/>
    <w:rsid w:val="7FEE568F"/>
    <w:rsid w:val="7FF10D9A"/>
    <w:rsid w:val="7FF21D66"/>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RAN4 proposal"/>
    <w:basedOn w:val="11"/>
    <w:next w:val="1"/>
    <w:qFormat/>
    <w:uiPriority w:val="0"/>
    <w:pPr>
      <w:numPr>
        <w:ilvl w:val="0"/>
        <w:numId w:val="2"/>
      </w:numPr>
      <w:jc w:val="left"/>
    </w:pPr>
    <w:rPr>
      <w:rFonts w:ascii="Times New Roman" w:hAnsi="Times New Roman"/>
      <w:b/>
    </w:rPr>
  </w:style>
  <w:style w:type="paragraph" w:customStyle="1" w:styleId="95">
    <w:name w:val="Observation"/>
    <w:basedOn w:val="96"/>
    <w:qFormat/>
    <w:uiPriority w:val="0"/>
    <w:pPr>
      <w:numPr>
        <w:ilvl w:val="0"/>
        <w:numId w:val="3"/>
      </w:numPr>
      <w:tabs>
        <w:tab w:val="left" w:pos="1701"/>
      </w:tabs>
      <w:ind w:left="1701" w:hanging="1701"/>
    </w:pPr>
    <w:rPr>
      <w:lang w:eastAsia="ja-JP"/>
    </w:rPr>
  </w:style>
  <w:style w:type="paragraph" w:customStyle="1" w:styleId="96">
    <w:name w:val="Proposal"/>
    <w:basedOn w:val="14"/>
    <w:qFormat/>
    <w:uiPriority w:val="0"/>
    <w:pPr>
      <w:numPr>
        <w:ilvl w:val="0"/>
        <w:numId w:val="4"/>
      </w:numPr>
      <w:tabs>
        <w:tab w:val="left" w:pos="1701"/>
        <w:tab w:val="clear" w:pos="1304"/>
      </w:tabs>
      <w:ind w:left="1701" w:hanging="1701"/>
    </w:pPr>
    <w:rPr>
      <w:b/>
      <w:bCs/>
    </w:rPr>
  </w:style>
  <w:style w:type="paragraph" w:customStyle="1" w:styleId="97">
    <w:name w:val="Doc-text2"/>
    <w:basedOn w:val="1"/>
    <w:qFormat/>
    <w:uiPriority w:val="0"/>
    <w:pPr>
      <w:tabs>
        <w:tab w:val="left" w:pos="1622"/>
      </w:tabs>
      <w:spacing w:after="0"/>
      <w:ind w:left="1622" w:hanging="363"/>
    </w:pPr>
    <w:rPr>
      <w:rFonts w:eastAsia="MS Mincho"/>
      <w:szCs w:val="24"/>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F49D7-3A07-4AA3-924A-55BDA278DA36}">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27</Pages>
  <Words>5504</Words>
  <Characters>31650</Characters>
  <Lines>220</Lines>
  <Paragraphs>62</Paragraphs>
  <TotalTime>0</TotalTime>
  <ScaleCrop>false</ScaleCrop>
  <LinksUpToDate>false</LinksUpToDate>
  <CharactersWithSpaces>36922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2023-11-03T14:56:09Z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